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42" w:rsidRPr="00603C9A" w:rsidRDefault="005D5842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rPr>
          <w:sz w:val="28"/>
          <w:szCs w:val="28"/>
        </w:rPr>
      </w:pPr>
      <w:r w:rsidRPr="00603C9A">
        <w:rPr>
          <w:sz w:val="28"/>
          <w:szCs w:val="28"/>
        </w:rPr>
        <w:t>УДК 631,54: 634,8</w:t>
      </w:r>
    </w:p>
    <w:p w:rsidR="005D5842" w:rsidRPr="005D5842" w:rsidRDefault="005D5842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rPr>
          <w:b/>
          <w:sz w:val="28"/>
          <w:szCs w:val="28"/>
        </w:rPr>
      </w:pPr>
    </w:p>
    <w:p w:rsidR="005E220E" w:rsidRDefault="005E220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b/>
          <w:sz w:val="28"/>
          <w:szCs w:val="28"/>
        </w:rPr>
      </w:pPr>
      <w:r w:rsidRPr="005D5842">
        <w:rPr>
          <w:b/>
          <w:sz w:val="28"/>
          <w:szCs w:val="28"/>
        </w:rPr>
        <w:t>РОСТОВЫЕ ПРОЦЕС</w:t>
      </w:r>
      <w:r w:rsidR="00A4459E">
        <w:rPr>
          <w:b/>
          <w:sz w:val="28"/>
          <w:szCs w:val="28"/>
        </w:rPr>
        <w:t>С</w:t>
      </w:r>
      <w:r w:rsidRPr="005D5842">
        <w:rPr>
          <w:b/>
          <w:sz w:val="28"/>
          <w:szCs w:val="28"/>
        </w:rPr>
        <w:t>Ы ПОБЕГОВ</w:t>
      </w:r>
      <w:r w:rsidR="00F45335" w:rsidRPr="005D5842">
        <w:rPr>
          <w:b/>
          <w:sz w:val="28"/>
          <w:szCs w:val="28"/>
        </w:rPr>
        <w:t xml:space="preserve"> ПОДВОЙНЫХ КУСТОВ ВИНОГРАДА </w:t>
      </w:r>
      <w:r w:rsidRPr="005D5842">
        <w:rPr>
          <w:b/>
          <w:sz w:val="28"/>
          <w:szCs w:val="28"/>
        </w:rPr>
        <w:t xml:space="preserve"> ПРИ РАЗЛИЧНЫХ ВАРИАНТАХ АГРОТЕХНИКИ</w:t>
      </w:r>
      <w:bookmarkStart w:id="0" w:name="_GoBack"/>
      <w:bookmarkEnd w:id="0"/>
    </w:p>
    <w:p w:rsidR="00603C9A" w:rsidRDefault="00603C9A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03C9A" w:rsidRDefault="00603C9A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sz w:val="28"/>
          <w:szCs w:val="28"/>
        </w:rPr>
      </w:pPr>
      <w:r w:rsidRPr="00603C9A">
        <w:rPr>
          <w:sz w:val="28"/>
          <w:szCs w:val="28"/>
        </w:rPr>
        <w:t>Михайловский С.С.,</w:t>
      </w:r>
      <w:r>
        <w:rPr>
          <w:sz w:val="28"/>
          <w:szCs w:val="28"/>
        </w:rPr>
        <w:t xml:space="preserve"> младший научный сотрудник,</w:t>
      </w:r>
    </w:p>
    <w:p w:rsidR="00603C9A" w:rsidRDefault="00603C9A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Анапская зональная опытная станция виноградарства и виноделия – филиал Федерального государственного бюджетного научного учреждения «Северо-Кавказский Федеральный научный центр садоводства, виноградарства и виноделия»</w:t>
      </w:r>
      <w:r w:rsidR="00AD4BB0">
        <w:rPr>
          <w:i/>
          <w:sz w:val="28"/>
          <w:szCs w:val="28"/>
        </w:rPr>
        <w:t xml:space="preserve"> (Анапа)</w:t>
      </w:r>
    </w:p>
    <w:p w:rsidR="00712332" w:rsidRDefault="00197CFC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i/>
          <w:sz w:val="28"/>
          <w:szCs w:val="28"/>
        </w:rPr>
      </w:pPr>
      <w:hyperlink r:id="rId6" w:history="1">
        <w:r w:rsidR="00712332" w:rsidRPr="00712332">
          <w:rPr>
            <w:rStyle w:val="aa"/>
            <w:i/>
            <w:sz w:val="28"/>
            <w:szCs w:val="28"/>
          </w:rPr>
          <w:t>azosviv@mail.ru</w:t>
        </w:r>
      </w:hyperlink>
    </w:p>
    <w:p w:rsidR="00E077B6" w:rsidRDefault="00E077B6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center"/>
        <w:rPr>
          <w:i/>
          <w:sz w:val="28"/>
          <w:szCs w:val="28"/>
        </w:rPr>
      </w:pPr>
    </w:p>
    <w:p w:rsidR="00AD4BB0" w:rsidRDefault="00AD4BB0" w:rsidP="00AD4BB0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sz w:val="20"/>
          <w:szCs w:val="20"/>
        </w:rPr>
      </w:pPr>
      <w:r w:rsidRPr="00AD4BB0">
        <w:rPr>
          <w:b/>
          <w:i/>
          <w:sz w:val="20"/>
          <w:szCs w:val="20"/>
        </w:rPr>
        <w:t>Реферат.</w:t>
      </w:r>
      <w:r>
        <w:rPr>
          <w:b/>
          <w:i/>
          <w:sz w:val="20"/>
          <w:szCs w:val="20"/>
        </w:rPr>
        <w:t xml:space="preserve"> </w:t>
      </w:r>
      <w:r w:rsidR="00E077B6">
        <w:rPr>
          <w:sz w:val="20"/>
          <w:szCs w:val="20"/>
        </w:rPr>
        <w:t>Формирование подвойного куста винограда является важнейшим агротехническим приёмом с помощь</w:t>
      </w:r>
      <w:r w:rsidR="00F80561">
        <w:rPr>
          <w:sz w:val="20"/>
          <w:szCs w:val="20"/>
        </w:rPr>
        <w:t>ю</w:t>
      </w:r>
      <w:r w:rsidR="00E077B6">
        <w:rPr>
          <w:sz w:val="20"/>
          <w:szCs w:val="20"/>
        </w:rPr>
        <w:t xml:space="preserve"> которого можно регулировать рост растения и в итоге получить хороший выход качественной подвойной лозы для прививки, целью данной научно-исследовательской работы</w:t>
      </w:r>
      <w:r w:rsidR="00491F1C">
        <w:rPr>
          <w:sz w:val="20"/>
          <w:szCs w:val="20"/>
        </w:rPr>
        <w:t xml:space="preserve"> является изучения различных вариантов формирования подвойный кустов винограда на примере сорта подвоя </w:t>
      </w:r>
      <w:r w:rsidR="00491F1C" w:rsidRPr="00491F1C">
        <w:rPr>
          <w:sz w:val="20"/>
          <w:szCs w:val="20"/>
        </w:rPr>
        <w:t>Берландиери × Рипариа СО 4</w:t>
      </w:r>
      <w:r w:rsidR="00491F1C">
        <w:rPr>
          <w:sz w:val="20"/>
          <w:szCs w:val="20"/>
        </w:rPr>
        <w:t>, при каком способе можно получить наибольший выход, а также как формировки влияют на рост и развитие.</w:t>
      </w:r>
    </w:p>
    <w:p w:rsidR="00491F1C" w:rsidRDefault="00491F1C" w:rsidP="00AD4BB0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Ключевые слова. </w:t>
      </w:r>
      <w:r>
        <w:rPr>
          <w:sz w:val="20"/>
          <w:szCs w:val="20"/>
        </w:rPr>
        <w:t>Подвой, формирование, ростовые процессы, виноградная лоза, агротехнический приём, маточник.</w:t>
      </w:r>
    </w:p>
    <w:p w:rsidR="00491F1C" w:rsidRDefault="00491F1C" w:rsidP="00AD4BB0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sz w:val="20"/>
          <w:szCs w:val="20"/>
        </w:rPr>
      </w:pPr>
    </w:p>
    <w:p w:rsidR="0089577A" w:rsidRPr="00F80561" w:rsidRDefault="0089577A" w:rsidP="00AD4BB0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sz w:val="20"/>
          <w:szCs w:val="20"/>
          <w:lang w:val="en-US"/>
        </w:rPr>
      </w:pPr>
      <w:r w:rsidRPr="00345072">
        <w:rPr>
          <w:rStyle w:val="hps"/>
          <w:b/>
          <w:i/>
          <w:sz w:val="20"/>
          <w:lang w:val="en-US"/>
        </w:rPr>
        <w:t>Summary.</w:t>
      </w:r>
      <w:r>
        <w:rPr>
          <w:sz w:val="20"/>
          <w:szCs w:val="20"/>
          <w:lang w:val="en-US"/>
        </w:rPr>
        <w:t xml:space="preserve"> Formation of rootstock grape b</w:t>
      </w:r>
      <w:r w:rsidR="00351D0A" w:rsidRPr="00351D0A">
        <w:rPr>
          <w:sz w:val="20"/>
          <w:szCs w:val="20"/>
          <w:lang w:val="en-US"/>
        </w:rPr>
        <w:t xml:space="preserve">ush is the most important agrotechnical technique by which you can regulate the growth of plants and eventually get a good yield of high-quality rootstock vines for grafting, the purpose of this research work is to study the various options for the formation of rootstock grape bushes on the example of the stock </w:t>
      </w:r>
      <w:proofErr w:type="spellStart"/>
      <w:r w:rsidR="00351D0A" w:rsidRPr="00351D0A">
        <w:rPr>
          <w:sz w:val="20"/>
          <w:szCs w:val="20"/>
          <w:lang w:val="en-US"/>
        </w:rPr>
        <w:t>Berlandieri</w:t>
      </w:r>
      <w:proofErr w:type="spellEnd"/>
      <w:r w:rsidR="00351D0A" w:rsidRPr="00351D0A">
        <w:rPr>
          <w:sz w:val="20"/>
          <w:szCs w:val="20"/>
          <w:lang w:val="en-US"/>
        </w:rPr>
        <w:t xml:space="preserve"> × </w:t>
      </w:r>
      <w:proofErr w:type="spellStart"/>
      <w:r w:rsidR="00351D0A" w:rsidRPr="00351D0A">
        <w:rPr>
          <w:sz w:val="20"/>
          <w:szCs w:val="20"/>
          <w:lang w:val="en-US"/>
        </w:rPr>
        <w:t>Riparia</w:t>
      </w:r>
      <w:proofErr w:type="spellEnd"/>
      <w:r w:rsidR="00351D0A" w:rsidRPr="00351D0A">
        <w:rPr>
          <w:sz w:val="20"/>
          <w:szCs w:val="20"/>
          <w:lang w:val="en-US"/>
        </w:rPr>
        <w:t xml:space="preserve"> CO 4, in what way you can get the greatest yield, as well as how the formation affect the growth and development. </w:t>
      </w:r>
    </w:p>
    <w:p w:rsidR="00351D0A" w:rsidRPr="0089577A" w:rsidRDefault="0089577A" w:rsidP="00AD4BB0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sz w:val="20"/>
          <w:szCs w:val="20"/>
          <w:lang w:val="en-US"/>
        </w:rPr>
      </w:pPr>
      <w:r w:rsidRPr="00345072">
        <w:rPr>
          <w:b/>
          <w:i/>
          <w:sz w:val="20"/>
          <w:lang w:val="en-US"/>
        </w:rPr>
        <w:t>Key words</w:t>
      </w:r>
      <w:r w:rsidRPr="0089577A">
        <w:rPr>
          <w:b/>
          <w:sz w:val="20"/>
          <w:lang w:val="en-US"/>
        </w:rPr>
        <w:t xml:space="preserve">: </w:t>
      </w:r>
      <w:r w:rsidR="00351D0A" w:rsidRPr="0089577A">
        <w:rPr>
          <w:sz w:val="20"/>
          <w:szCs w:val="20"/>
          <w:lang w:val="en-US"/>
        </w:rPr>
        <w:t>Rootstock, formation, growth processes, vine</w:t>
      </w:r>
      <w:r>
        <w:rPr>
          <w:sz w:val="20"/>
          <w:szCs w:val="20"/>
          <w:lang w:val="en-US"/>
        </w:rPr>
        <w:t xml:space="preserve">, agrotechnical technique, </w:t>
      </w:r>
      <w:r w:rsidRPr="007202C8">
        <w:rPr>
          <w:sz w:val="20"/>
          <w:szCs w:val="20"/>
          <w:lang w:val="en-US"/>
        </w:rPr>
        <w:t>queen cell</w:t>
      </w:r>
      <w:r w:rsidR="00351D0A" w:rsidRPr="0089577A">
        <w:rPr>
          <w:sz w:val="20"/>
          <w:szCs w:val="20"/>
          <w:lang w:val="en-US"/>
        </w:rPr>
        <w:t>.</w:t>
      </w:r>
    </w:p>
    <w:p w:rsidR="005D5842" w:rsidRPr="0089577A" w:rsidRDefault="005D5842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/>
          <w:lang w:val="en-US"/>
        </w:rPr>
      </w:pPr>
    </w:p>
    <w:p w:rsidR="00D53D7D" w:rsidRPr="005D5842" w:rsidRDefault="005E220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rPr>
          <w:b/>
          <w:i/>
        </w:rPr>
        <w:t>Введение</w:t>
      </w:r>
      <w:r w:rsidRPr="00F80561">
        <w:rPr>
          <w:b/>
          <w:i/>
        </w:rPr>
        <w:t>:</w:t>
      </w:r>
      <w:r w:rsidRPr="00F80561">
        <w:t xml:space="preserve"> </w:t>
      </w:r>
      <w:r w:rsidR="00D53D7D" w:rsidRPr="005D5842">
        <w:t>Маточники</w:t>
      </w:r>
      <w:r w:rsidR="00D53D7D" w:rsidRPr="00F80561">
        <w:t xml:space="preserve"> </w:t>
      </w:r>
      <w:r w:rsidR="00D53D7D" w:rsidRPr="005D5842">
        <w:t>подвойных</w:t>
      </w:r>
      <w:r w:rsidR="00D53D7D" w:rsidRPr="00F80561">
        <w:t xml:space="preserve"> </w:t>
      </w:r>
      <w:r w:rsidR="00D53D7D" w:rsidRPr="005D5842">
        <w:t>лоз</w:t>
      </w:r>
      <w:r w:rsidR="00D53D7D" w:rsidRPr="00F80561">
        <w:t xml:space="preserve"> </w:t>
      </w:r>
      <w:r w:rsidR="00D53D7D" w:rsidRPr="005D5842">
        <w:t>представляют</w:t>
      </w:r>
      <w:r w:rsidR="00D53D7D" w:rsidRPr="00F80561">
        <w:t xml:space="preserve"> </w:t>
      </w:r>
      <w:r w:rsidR="00D53D7D" w:rsidRPr="005D5842">
        <w:t>собой</w:t>
      </w:r>
      <w:r w:rsidR="00D53D7D" w:rsidRPr="00F80561">
        <w:t xml:space="preserve"> </w:t>
      </w:r>
      <w:r w:rsidR="00D53D7D" w:rsidRPr="005D5842">
        <w:t>специальные</w:t>
      </w:r>
      <w:r w:rsidR="00D53D7D" w:rsidRPr="00F80561">
        <w:t xml:space="preserve"> </w:t>
      </w:r>
      <w:r w:rsidR="00D53D7D" w:rsidRPr="005D5842">
        <w:t>насаждения</w:t>
      </w:r>
      <w:r w:rsidR="00D53D7D" w:rsidRPr="00F80561">
        <w:t xml:space="preserve"> </w:t>
      </w:r>
      <w:r w:rsidR="00D53D7D" w:rsidRPr="005D5842">
        <w:t>чистосортных</w:t>
      </w:r>
      <w:r w:rsidR="00D53D7D" w:rsidRPr="00F80561">
        <w:t xml:space="preserve"> </w:t>
      </w:r>
      <w:r w:rsidR="00D53D7D" w:rsidRPr="005D5842">
        <w:t>подвоев</w:t>
      </w:r>
      <w:r w:rsidR="00D53D7D" w:rsidRPr="00F80561">
        <w:t xml:space="preserve">, </w:t>
      </w:r>
      <w:r w:rsidR="00D53D7D" w:rsidRPr="005D5842">
        <w:t>урожай</w:t>
      </w:r>
      <w:r w:rsidR="00D53D7D" w:rsidRPr="00F80561">
        <w:t xml:space="preserve"> </w:t>
      </w:r>
      <w:r w:rsidR="00D53D7D" w:rsidRPr="005D5842">
        <w:t>с</w:t>
      </w:r>
      <w:r w:rsidR="00D53D7D" w:rsidRPr="00F80561">
        <w:t xml:space="preserve"> </w:t>
      </w:r>
      <w:r w:rsidR="00D53D7D" w:rsidRPr="005D5842">
        <w:t>которых</w:t>
      </w:r>
      <w:r w:rsidR="00D53D7D" w:rsidRPr="00F80561">
        <w:t xml:space="preserve"> </w:t>
      </w:r>
      <w:r w:rsidR="00D53D7D" w:rsidRPr="005D5842">
        <w:t>определяют</w:t>
      </w:r>
      <w:r w:rsidR="00D53D7D" w:rsidRPr="00F80561">
        <w:t xml:space="preserve"> </w:t>
      </w:r>
      <w:r w:rsidR="00D53D7D" w:rsidRPr="005D5842">
        <w:t>количеством заготовленных черенков, стандартных по длине и толщине. Поэтому весь комплекс агротехнических мероприятий, начиная с выбора земельного участка под закладку маточников, их посадки и ухода за насаждениями, должен быть направлен на выращивание сильных кустов, обеспечивающих оптимальный рост и хорошее вызревание подвойной лозы.</w:t>
      </w:r>
    </w:p>
    <w:p w:rsidR="00D53D7D" w:rsidRPr="005D5842" w:rsidRDefault="00D53D7D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>По данным многих ученных JI. М. Малтабар, А. М. Аджиев</w:t>
      </w:r>
      <w:r w:rsidR="003D6366" w:rsidRPr="005D5842">
        <w:t>, Г. М. Мам</w:t>
      </w:r>
      <w:r w:rsidRPr="005D5842">
        <w:t>маев (1984), А. Г. Мишуренко, М. М. Красюк (1987), Д. М. Козаченко (1999), В. В. Чулков(2005), Л. В. Кравченко (2006) и др. большое влияние на процессы жизнедеятельности виноградного растения, а значит, и на его продуктивность оказывают агротехнические приемы, применяемые на маточнике.</w:t>
      </w:r>
    </w:p>
    <w:p w:rsidR="00D07ECE" w:rsidRPr="005D5842" w:rsidRDefault="00D53D7D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>В связи с этим изучение различных агротехнических приемов применяемых на маточниках подвойных лоз и разработка новых более эффективных приемов и методов возделывания маточных кустов является актуальным направлением исследований. </w:t>
      </w:r>
    </w:p>
    <w:p w:rsidR="00D07ECE" w:rsidRPr="005D5842" w:rsidRDefault="00D52972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/>
        </w:rPr>
      </w:pPr>
      <w:r w:rsidRPr="005D5842">
        <w:t>На количество и качество виноградной лозы большое влияние оказывает не только общая мощность и сила роста всего куста, но и состояние каждого побега развившегося на растении в текущем вегетационном периоде</w:t>
      </w:r>
      <w:r w:rsidR="00D07ECE" w:rsidRPr="005D5842">
        <w:rPr>
          <w:b/>
        </w:rPr>
        <w:t>[1,4].</w:t>
      </w:r>
    </w:p>
    <w:p w:rsidR="00D07ECE" w:rsidRPr="005D5842" w:rsidRDefault="00D07EC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>Во многом это обусловлено тем, что побег является основным органом активно участвующим в создании урожая, поскольку на нем формируется ассимиляционный аппарат, вырабатывающий питательные вещества, а так же развиваются генеративные органы (соцветия). В настоящее время имеются работы, в которых приводятся экспериментальные данные о том, что побеги отличающиеся по силе роста, в различной степени участвуют в формировании общ</w:t>
      </w:r>
      <w:r w:rsidR="00C259B8" w:rsidRPr="005D5842">
        <w:t xml:space="preserve">ей продуктивности винограда </w:t>
      </w:r>
      <w:r w:rsidR="00C259B8" w:rsidRPr="005D5842">
        <w:rPr>
          <w:b/>
        </w:rPr>
        <w:t>[2,6</w:t>
      </w:r>
      <w:r w:rsidRPr="005D5842">
        <w:rPr>
          <w:b/>
        </w:rPr>
        <w:t>].</w:t>
      </w:r>
    </w:p>
    <w:p w:rsidR="00FB4C73" w:rsidRPr="005D5842" w:rsidRDefault="00D07EC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lastRenderedPageBreak/>
        <w:t>При этом авторами установлено, что слабые побеги с малым числом листьев не обеспе</w:t>
      </w:r>
      <w:r w:rsidR="00FB4C73" w:rsidRPr="005D5842">
        <w:t xml:space="preserve">чивают питанием даже себя и не могут пополнить </w:t>
      </w:r>
      <w:r w:rsidRPr="005D5842">
        <w:t xml:space="preserve">в достаточной степени запас питательных </w:t>
      </w:r>
      <w:r w:rsidR="00FB4C73" w:rsidRPr="005D5842">
        <w:t>веществ в тканях побега. Поэто</w:t>
      </w:r>
      <w:r w:rsidRPr="005D5842">
        <w:t>му они плохо вызревают, а в глазках таки</w:t>
      </w:r>
      <w:r w:rsidR="00FB4C73" w:rsidRPr="005D5842">
        <w:t xml:space="preserve">х побегов закладка генеративных </w:t>
      </w:r>
      <w:r w:rsidRPr="005D5842">
        <w:t>орга</w:t>
      </w:r>
      <w:r w:rsidR="00FB4C73" w:rsidRPr="005D5842">
        <w:t>нов находится на низком уровне.</w:t>
      </w:r>
    </w:p>
    <w:p w:rsidR="00FB4C73" w:rsidRPr="005D5842" w:rsidRDefault="00D07EC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 xml:space="preserve">В то же время чрезмерно длинные и </w:t>
      </w:r>
      <w:r w:rsidR="00FB4C73" w:rsidRPr="005D5842">
        <w:t>толстые «жировые» побеги затра</w:t>
      </w:r>
      <w:r w:rsidRPr="005D5842">
        <w:t>чивают питательные вещества преимуще</w:t>
      </w:r>
      <w:r w:rsidR="00FB4C73" w:rsidRPr="005D5842">
        <w:t>ственно на рост большой вегета</w:t>
      </w:r>
      <w:r w:rsidRPr="005D5842">
        <w:t>тивной массы, которая не нужна для уро</w:t>
      </w:r>
      <w:r w:rsidR="00FB4C73" w:rsidRPr="005D5842">
        <w:t>жая ни текущего, ни последующе</w:t>
      </w:r>
      <w:r w:rsidRPr="005D5842">
        <w:t>го годов. И только нормально развитые побеги обеспечивают</w:t>
      </w:r>
      <w:r w:rsidR="00FB4C73" w:rsidRPr="005D5842">
        <w:t xml:space="preserve"> своей листо</w:t>
      </w:r>
      <w:r w:rsidRPr="005D5842">
        <w:t>вой поверхностью выработку достаточ</w:t>
      </w:r>
      <w:r w:rsidR="00FB4C73" w:rsidRPr="005D5842">
        <w:t>ного количества питательных ве</w:t>
      </w:r>
      <w:r w:rsidRPr="005D5842">
        <w:t>ществ для хорошего вызрев</w:t>
      </w:r>
      <w:r w:rsidR="00FB4C73" w:rsidRPr="005D5842">
        <w:t>ания лозы.</w:t>
      </w:r>
    </w:p>
    <w:p w:rsidR="00D52972" w:rsidRPr="005D5842" w:rsidRDefault="00D07EC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>Поэтому при возделывании виног</w:t>
      </w:r>
      <w:r w:rsidR="00FB4C73" w:rsidRPr="005D5842">
        <w:t>радных растений необходимо при</w:t>
      </w:r>
      <w:r w:rsidRPr="005D5842">
        <w:t>менять агротехнические приемы, обеспечивающие нормальн</w:t>
      </w:r>
      <w:r w:rsidR="00FB4C73" w:rsidRPr="005D5842">
        <w:t>ый рост и раз</w:t>
      </w:r>
      <w:r w:rsidRPr="005D5842">
        <w:t>витие побегов. Это позволит</w:t>
      </w:r>
      <w:r w:rsidR="00FB4C73" w:rsidRPr="005D5842">
        <w:t xml:space="preserve"> получить высокий выход лозы с хорошего качества</w:t>
      </w:r>
      <w:r w:rsidRPr="005D5842">
        <w:t xml:space="preserve"> без снижения силы роста к</w:t>
      </w:r>
      <w:r w:rsidR="00FB4C73" w:rsidRPr="005D5842">
        <w:t>уста и его продуктивности в по</w:t>
      </w:r>
      <w:r w:rsidRPr="005D5842">
        <w:t>следующие годы.</w:t>
      </w:r>
    </w:p>
    <w:p w:rsidR="003D6366" w:rsidRPr="005D5842" w:rsidRDefault="008121BD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/>
        </w:rPr>
      </w:pPr>
      <w:r w:rsidRPr="005D5842">
        <w:t>Первостепенное значение в мероприятиях по повышению эффективности возделывания подвоев винограда играет способ формирования и ведения его кустов. Способ ведения винограда на маточниках подвойных лоз оказывает большое влияние на выход и качество черенков. Лучшим способом считается тот, при котором с единицы площади обеспечивается наибольший выход качественных черенков при наименьших затратах</w:t>
      </w:r>
      <w:r w:rsidR="00242775" w:rsidRPr="005D5842">
        <w:t xml:space="preserve"> </w:t>
      </w:r>
      <w:r w:rsidRPr="005D5842">
        <w:rPr>
          <w:b/>
        </w:rPr>
        <w:t>[</w:t>
      </w:r>
      <w:r w:rsidR="00C259B8" w:rsidRPr="005D5842">
        <w:rPr>
          <w:b/>
        </w:rPr>
        <w:t>3, 5</w:t>
      </w:r>
      <w:r w:rsidR="003D6366" w:rsidRPr="005D5842">
        <w:rPr>
          <w:b/>
        </w:rPr>
        <w:t>]</w:t>
      </w:r>
      <w:r w:rsidR="00C259B8" w:rsidRPr="005D5842">
        <w:rPr>
          <w:b/>
        </w:rPr>
        <w:t>.</w:t>
      </w:r>
    </w:p>
    <w:p w:rsidR="00FB4C73" w:rsidRPr="005D5842" w:rsidRDefault="00FB4C73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>Продукционный процесс виноградных растений обусловлен множеством факторов и одним из определяющих является фотосинтетический потенциал – бездефицитная обеспеченность растений листовым аппаратом. Ростовые процессы виноградной лозы и листового аппарата находятся в тесной зависимости от сорта и агротехники.</w:t>
      </w:r>
    </w:p>
    <w:p w:rsidR="00965A24" w:rsidRPr="005D5842" w:rsidRDefault="00242775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t xml:space="preserve">Надземная часть растений винограда – фитомасса куста является основной продуцирующей системой. Побеги, их рост и развитие определяют величину и качество урожая. Цель исследований – выявить закономерности </w:t>
      </w:r>
      <w:r w:rsidR="00FB4C73" w:rsidRPr="005D5842">
        <w:t xml:space="preserve">изменения ростовых процессов, </w:t>
      </w:r>
      <w:r w:rsidRPr="005D5842">
        <w:t xml:space="preserve">под влиянием различных вариантах агротехники. </w:t>
      </w:r>
    </w:p>
    <w:p w:rsidR="00242DB8" w:rsidRPr="005D5842" w:rsidRDefault="00242DB8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rPr>
          <w:b/>
          <w:i/>
        </w:rPr>
        <w:t xml:space="preserve">Объекты и методы исследований: </w:t>
      </w:r>
      <w:r w:rsidR="006F03DA" w:rsidRPr="005D5842">
        <w:t xml:space="preserve">Исследования проводятся на маточнике подвойных лоз ФГБНУ Анапская ЗОСВиВ, почва – слабовыщелоченный чернозем. </w:t>
      </w:r>
      <w:r w:rsidRPr="005D5842">
        <w:t>Объектом исследований является подвойный сорт винограда Берландиери ×</w:t>
      </w:r>
      <w:r w:rsidR="00EF320B" w:rsidRPr="005D5842">
        <w:t xml:space="preserve"> Рип</w:t>
      </w:r>
      <w:r w:rsidRPr="005D5842">
        <w:t xml:space="preserve">ариа СО 4, 2006 года посадки по схеме </w:t>
      </w:r>
      <w:r w:rsidRPr="005D5842">
        <w:rPr>
          <w:b/>
        </w:rPr>
        <w:t xml:space="preserve">  </w:t>
      </w:r>
      <w:r w:rsidRPr="005D5842">
        <w:t>3,0 × 1,5 м. Предметом исследований является норма реакции подвойных растений винограда на изменение формы кустов винограда и способов их ведения по показателям наступления и продолжительности фенофаз, пасынкообразующей способности кустов, особенностей роста и развития побегов, поражаемости растений болезнями и вредителями, выхода черенков с 1 га и их качества.</w:t>
      </w:r>
    </w:p>
    <w:p w:rsidR="003318E2" w:rsidRPr="005D5842" w:rsidRDefault="003318E2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Cs/>
          <w:iCs/>
        </w:rPr>
      </w:pPr>
      <w:r w:rsidRPr="005D5842">
        <w:rPr>
          <w:b/>
          <w:bCs/>
          <w:i/>
          <w:iCs/>
        </w:rPr>
        <w:t>Обсуждение результатов.</w:t>
      </w:r>
      <w:r w:rsidR="0036613E" w:rsidRPr="005D5842">
        <w:rPr>
          <w:bCs/>
          <w:iCs/>
        </w:rPr>
        <w:t xml:space="preserve"> Исследование на маточнике подвойных лоз ведутся с 2017 года, на сорте подвоя винограда Берландиери х Рипариа СО4, на маточнике заложен опыт по созданию формировки или способа ведения </w:t>
      </w:r>
      <w:proofErr w:type="gramStart"/>
      <w:r w:rsidR="0036613E" w:rsidRPr="005D5842">
        <w:rPr>
          <w:bCs/>
          <w:iCs/>
        </w:rPr>
        <w:t>подвойных кустов</w:t>
      </w:r>
      <w:proofErr w:type="gramEnd"/>
      <w:r w:rsidR="0036613E" w:rsidRPr="005D5842">
        <w:rPr>
          <w:bCs/>
          <w:iCs/>
        </w:rPr>
        <w:t xml:space="preserve"> обеспечивающих высокий выход качественных черенков пригодных</w:t>
      </w:r>
      <w:r w:rsidR="00E35C04" w:rsidRPr="005D5842">
        <w:rPr>
          <w:bCs/>
          <w:iCs/>
        </w:rPr>
        <w:t xml:space="preserve"> для прививки. Опыт состоит из 5</w:t>
      </w:r>
      <w:r w:rsidR="0036613E" w:rsidRPr="005D5842">
        <w:rPr>
          <w:bCs/>
          <w:iCs/>
        </w:rPr>
        <w:t xml:space="preserve"> вариантов спиралевидных формировок, контролем служит короткорукавная низкоштамбовая формировка.</w:t>
      </w:r>
    </w:p>
    <w:p w:rsidR="0036613E" w:rsidRPr="005D5842" w:rsidRDefault="0036613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Cs/>
          <w:iCs/>
        </w:rPr>
      </w:pPr>
      <w:r w:rsidRPr="005D5842">
        <w:rPr>
          <w:bCs/>
          <w:iCs/>
        </w:rPr>
        <w:t>Развитие виноградной лозы во многом зависит от особенностей сорта</w:t>
      </w:r>
      <w:r w:rsidR="00841901" w:rsidRPr="005D5842">
        <w:rPr>
          <w:bCs/>
          <w:iCs/>
        </w:rPr>
        <w:t>, места произрастания</w:t>
      </w:r>
      <w:r w:rsidR="00FA7FDA" w:rsidRPr="005D5842">
        <w:rPr>
          <w:bCs/>
          <w:iCs/>
        </w:rPr>
        <w:t>, агротехники</w:t>
      </w:r>
      <w:r w:rsidR="00841901" w:rsidRPr="005D5842">
        <w:rPr>
          <w:bCs/>
          <w:iCs/>
        </w:rPr>
        <w:t xml:space="preserve"> и климатических условий.</w:t>
      </w:r>
    </w:p>
    <w:p w:rsidR="0036613E" w:rsidRPr="005D5842" w:rsidRDefault="00841901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  <w:rPr>
          <w:bCs/>
          <w:iCs/>
        </w:rPr>
      </w:pPr>
      <w:r w:rsidRPr="005D5842">
        <w:rPr>
          <w:bCs/>
          <w:iCs/>
        </w:rPr>
        <w:t>Маточник подвойных лоз находится в Анапа-  Таманской почвенно-климатической зоне, на северо – востоке Анапского района, для данной местности характерен мягкий климат, но летний период бывает засушливым и длинным, погодные условия от года в год разняться.</w:t>
      </w:r>
      <w:r w:rsidR="002A2CDD" w:rsidRPr="005D5842">
        <w:rPr>
          <w:bCs/>
          <w:iCs/>
        </w:rPr>
        <w:t xml:space="preserve"> </w:t>
      </w:r>
      <w:r w:rsidR="00DF4730" w:rsidRPr="005D5842">
        <w:rPr>
          <w:bCs/>
          <w:iCs/>
        </w:rPr>
        <w:t xml:space="preserve">Данные по температуре (средние) и </w:t>
      </w:r>
      <w:proofErr w:type="gramStart"/>
      <w:r w:rsidR="00DF4730" w:rsidRPr="005D5842">
        <w:rPr>
          <w:bCs/>
          <w:iCs/>
        </w:rPr>
        <w:t>осадках  представлены</w:t>
      </w:r>
      <w:proofErr w:type="gramEnd"/>
      <w:r w:rsidR="00DF4730" w:rsidRPr="005D5842">
        <w:rPr>
          <w:bCs/>
          <w:iCs/>
        </w:rPr>
        <w:t xml:space="preserve"> в нижеследующих диаграммах: Рис.1 и Рис.2.</w:t>
      </w:r>
    </w:p>
    <w:p w:rsidR="0036613E" w:rsidRDefault="0036613E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rPr>
          <w:noProof/>
        </w:rPr>
        <w:lastRenderedPageBreak/>
        <w:drawing>
          <wp:inline distT="0" distB="0" distL="0" distR="0" wp14:anchorId="34621B1D" wp14:editId="32B6E6A0">
            <wp:extent cx="5486400" cy="3200400"/>
            <wp:effectExtent l="0" t="0" r="19050" b="19050"/>
            <wp:docPr id="1" name="Диаграмма 1" title="температур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2C8" w:rsidRDefault="007202C8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</w:p>
    <w:p w:rsidR="007202C8" w:rsidRPr="005D5842" w:rsidRDefault="007202C8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</w:p>
    <w:p w:rsidR="00242775" w:rsidRPr="005D5842" w:rsidRDefault="00F066C1" w:rsidP="005D5842">
      <w:pPr>
        <w:pStyle w:val="a4"/>
        <w:shd w:val="clear" w:color="auto" w:fill="FFFFFF"/>
        <w:spacing w:before="0" w:beforeAutospacing="0" w:after="312" w:afterAutospacing="0"/>
        <w:ind w:firstLine="567"/>
        <w:contextualSpacing/>
        <w:jc w:val="both"/>
      </w:pPr>
      <w:r w:rsidRPr="005D5842">
        <w:rPr>
          <w:noProof/>
        </w:rPr>
        <w:drawing>
          <wp:inline distT="0" distB="0" distL="0" distR="0" wp14:anchorId="2DBA5FB8" wp14:editId="61F6D648">
            <wp:extent cx="5486400" cy="3200400"/>
            <wp:effectExtent l="0" t="0" r="19050" b="19050"/>
            <wp:docPr id="2" name="Диаграмма 2" title="осадки мл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730" w:rsidRDefault="00DF4730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За 2 года проведения исследования погодные условия в зимний период были более мягкими, чем в предыдущие года, температура в январе не отпускалась ниже</w:t>
      </w:r>
      <w:r w:rsidR="00273F64" w:rsidRPr="005D5842">
        <w:rPr>
          <w:rFonts w:ascii="Times New Roman" w:hAnsi="Times New Roman" w:cs="Times New Roman"/>
          <w:sz w:val="24"/>
          <w:szCs w:val="24"/>
        </w:rPr>
        <w:t xml:space="preserve"> -14°С в 2017 и -8°С в 2018годах, в аналогичный период в 2016 году температура опускалась до -17 -20°С</w:t>
      </w:r>
      <w:r w:rsidRPr="005D5842">
        <w:rPr>
          <w:rFonts w:ascii="Times New Roman" w:hAnsi="Times New Roman" w:cs="Times New Roman"/>
          <w:sz w:val="24"/>
          <w:szCs w:val="24"/>
        </w:rPr>
        <w:t>.</w:t>
      </w:r>
      <w:r w:rsidR="00273F64" w:rsidRPr="005D5842">
        <w:rPr>
          <w:rFonts w:ascii="Times New Roman" w:hAnsi="Times New Roman" w:cs="Times New Roman"/>
          <w:sz w:val="24"/>
          <w:szCs w:val="24"/>
        </w:rPr>
        <w:t xml:space="preserve"> Все виноградные кусты подвоя зиму перезимовали без повреждений гибели кустов. А летний период напротив был засушлив</w:t>
      </w:r>
      <w:r w:rsidR="00B562F4" w:rsidRPr="005D5842">
        <w:rPr>
          <w:rFonts w:ascii="Times New Roman" w:hAnsi="Times New Roman" w:cs="Times New Roman"/>
          <w:sz w:val="24"/>
          <w:szCs w:val="24"/>
        </w:rPr>
        <w:t>, особенно выделились июнь и</w:t>
      </w:r>
      <w:r w:rsidR="00273F64" w:rsidRPr="005D5842">
        <w:rPr>
          <w:rFonts w:ascii="Times New Roman" w:hAnsi="Times New Roman" w:cs="Times New Roman"/>
          <w:sz w:val="24"/>
          <w:szCs w:val="24"/>
        </w:rPr>
        <w:t xml:space="preserve"> август 2018 года, количество осадков было минимальным и температура воздуха </w:t>
      </w:r>
      <w:proofErr w:type="gramStart"/>
      <w:r w:rsidR="00273F64" w:rsidRPr="005D5842">
        <w:rPr>
          <w:rFonts w:ascii="Times New Roman" w:hAnsi="Times New Roman" w:cs="Times New Roman"/>
          <w:sz w:val="24"/>
          <w:szCs w:val="24"/>
        </w:rPr>
        <w:t>была  высокой</w:t>
      </w:r>
      <w:proofErr w:type="gramEnd"/>
      <w:r w:rsidR="00273F64" w:rsidRPr="005D5842">
        <w:rPr>
          <w:rFonts w:ascii="Times New Roman" w:hAnsi="Times New Roman" w:cs="Times New Roman"/>
          <w:sz w:val="24"/>
          <w:szCs w:val="24"/>
        </w:rPr>
        <w:t xml:space="preserve"> превышая 30°С.</w:t>
      </w:r>
      <w:r w:rsidR="009509F7" w:rsidRPr="005D5842">
        <w:rPr>
          <w:rFonts w:ascii="Times New Roman" w:hAnsi="Times New Roman" w:cs="Times New Roman"/>
          <w:sz w:val="24"/>
          <w:szCs w:val="24"/>
        </w:rPr>
        <w:t xml:space="preserve"> Погодные условия в вегетационный период тоже активно сказывались на ростовой активности подвоя. Динамика роста подвоя по вариантам опыта представлены за 2017 год в табл.1; за 2018 год в табл.2.</w:t>
      </w:r>
    </w:p>
    <w:p w:rsidR="007202C8" w:rsidRDefault="007202C8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0C7" w:rsidRPr="005D5842" w:rsidRDefault="000350C7" w:rsidP="005D5842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42">
        <w:rPr>
          <w:rFonts w:ascii="Times New Roman" w:hAnsi="Times New Roman" w:cs="Times New Roman"/>
          <w:b/>
          <w:sz w:val="24"/>
          <w:szCs w:val="24"/>
        </w:rPr>
        <w:lastRenderedPageBreak/>
        <w:t>Таблица.1 Динамика роста побегов на сорте подвоя СО4 за 2017 год.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23"/>
        <w:gridCol w:w="850"/>
        <w:gridCol w:w="851"/>
        <w:gridCol w:w="850"/>
        <w:gridCol w:w="993"/>
        <w:gridCol w:w="992"/>
      </w:tblGrid>
      <w:tr w:rsidR="000350C7" w:rsidRPr="007202C8" w:rsidTr="000350C7">
        <w:trPr>
          <w:trHeight w:val="278"/>
        </w:trPr>
        <w:tc>
          <w:tcPr>
            <w:tcW w:w="597" w:type="dxa"/>
            <w:vMerge w:val="restart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223" w:type="dxa"/>
            <w:vMerge w:val="restart"/>
            <w:vAlign w:val="center"/>
          </w:tcPr>
          <w:p w:rsidR="000350C7" w:rsidRPr="00372E38" w:rsidRDefault="000350C7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Вариант опыта</w:t>
            </w:r>
          </w:p>
        </w:tc>
        <w:tc>
          <w:tcPr>
            <w:tcW w:w="4536" w:type="dxa"/>
            <w:gridSpan w:val="5"/>
            <w:vAlign w:val="center"/>
          </w:tcPr>
          <w:p w:rsidR="000350C7" w:rsidRPr="00372E38" w:rsidRDefault="000350C7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Длина побегов, см</w:t>
            </w:r>
          </w:p>
        </w:tc>
      </w:tr>
      <w:tr w:rsidR="000350C7" w:rsidRPr="007202C8" w:rsidTr="000350C7">
        <w:trPr>
          <w:trHeight w:val="277"/>
        </w:trPr>
        <w:tc>
          <w:tcPr>
            <w:tcW w:w="597" w:type="dxa"/>
            <w:vMerge/>
            <w:vAlign w:val="center"/>
          </w:tcPr>
          <w:p w:rsidR="000350C7" w:rsidRPr="00372E38" w:rsidRDefault="000350C7" w:rsidP="00372E38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vAlign w:val="center"/>
          </w:tcPr>
          <w:p w:rsidR="000350C7" w:rsidRPr="00372E38" w:rsidRDefault="000350C7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0350C7" w:rsidRPr="007202C8" w:rsidTr="000350C7"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0C7" w:rsidRPr="007202C8" w:rsidTr="000350C7">
        <w:trPr>
          <w:trHeight w:val="714"/>
        </w:trPr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eastAsia="Calibri" w:hAnsi="Times New Roman" w:cs="Times New Roman"/>
                <w:sz w:val="24"/>
                <w:szCs w:val="24"/>
              </w:rPr>
              <w:t>Среднештамбовая, однорукавная с сучками и свободным расположением зеленых побегов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0350C7" w:rsidRPr="007202C8" w:rsidTr="000350C7">
        <w:trPr>
          <w:trHeight w:val="675"/>
        </w:trPr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0C7" w:rsidRPr="00372E38" w:rsidRDefault="000350C7" w:rsidP="00372E38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eastAsia="Calibri" w:hAnsi="Times New Roman" w:cs="Times New Roman"/>
                <w:sz w:val="24"/>
                <w:szCs w:val="24"/>
              </w:rPr>
              <w:t>Среднештамбовая, двухрукавная с сучками и свободным расположением зеленых побегов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0350C7" w:rsidRPr="007202C8" w:rsidTr="000350C7"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Высокоштамбовая, однорукавная с сучками и свободным свисанием зеленых побегов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0350C7" w:rsidRPr="007202C8" w:rsidTr="000350C7"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Высокоштамбовая, двухрукавная с сучками и свободным свисанием зеленых побегов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  <w:vAlign w:val="center"/>
          </w:tcPr>
          <w:p w:rsidR="000350C7" w:rsidRPr="00372E38" w:rsidRDefault="004C593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0350C7"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0350C7" w:rsidRPr="007202C8" w:rsidTr="000350C7"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Высокоштамбовый двухрукавный с плодовыми звеньями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0350C7" w:rsidRPr="007202C8" w:rsidTr="000350C7">
        <w:tc>
          <w:tcPr>
            <w:tcW w:w="597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vAlign w:val="center"/>
          </w:tcPr>
          <w:p w:rsidR="000350C7" w:rsidRPr="00372E38" w:rsidRDefault="000350C7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sz w:val="24"/>
                <w:szCs w:val="24"/>
              </w:rPr>
              <w:t>Контроль (короткорукавная низкоштамбовая)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  <w:vAlign w:val="center"/>
          </w:tcPr>
          <w:p w:rsidR="000350C7" w:rsidRPr="00372E38" w:rsidRDefault="000350C7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0350C7" w:rsidRPr="005D5842" w:rsidRDefault="000350C7" w:rsidP="005D5842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D44" w:rsidRPr="005D5842" w:rsidRDefault="00C72D44" w:rsidP="005D5842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42">
        <w:rPr>
          <w:rFonts w:ascii="Times New Roman" w:hAnsi="Times New Roman" w:cs="Times New Roman"/>
          <w:b/>
          <w:sz w:val="24"/>
          <w:szCs w:val="24"/>
        </w:rPr>
        <w:t>Таблица.2 Динамика роста побегов на сорте подвоя СО4 за 2018 год.</w:t>
      </w:r>
    </w:p>
    <w:tbl>
      <w:tblPr>
        <w:tblStyle w:val="a8"/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4279"/>
        <w:gridCol w:w="850"/>
        <w:gridCol w:w="851"/>
        <w:gridCol w:w="850"/>
        <w:gridCol w:w="993"/>
        <w:gridCol w:w="992"/>
      </w:tblGrid>
      <w:tr w:rsidR="000350C7" w:rsidRPr="005D5842" w:rsidTr="000350C7">
        <w:trPr>
          <w:trHeight w:val="278"/>
          <w:jc w:val="center"/>
        </w:trPr>
        <w:tc>
          <w:tcPr>
            <w:tcW w:w="594" w:type="dxa"/>
            <w:vMerge w:val="restart"/>
            <w:vAlign w:val="center"/>
          </w:tcPr>
          <w:p w:rsidR="00C72D44" w:rsidRPr="005D5842" w:rsidRDefault="00372E38" w:rsidP="00372E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D44" w:rsidRPr="005D584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279" w:type="dxa"/>
            <w:vMerge w:val="restart"/>
            <w:vAlign w:val="center"/>
          </w:tcPr>
          <w:p w:rsidR="00C72D44" w:rsidRPr="005D5842" w:rsidRDefault="00C72D44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Вариант опыта</w:t>
            </w:r>
          </w:p>
        </w:tc>
        <w:tc>
          <w:tcPr>
            <w:tcW w:w="4536" w:type="dxa"/>
            <w:gridSpan w:val="5"/>
            <w:vAlign w:val="center"/>
          </w:tcPr>
          <w:p w:rsidR="00C72D44" w:rsidRPr="005D5842" w:rsidRDefault="00C72D44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Длина побегов, см</w:t>
            </w:r>
          </w:p>
        </w:tc>
      </w:tr>
      <w:tr w:rsidR="00C72D44" w:rsidRPr="005D5842" w:rsidTr="000350C7">
        <w:trPr>
          <w:trHeight w:val="277"/>
          <w:jc w:val="center"/>
        </w:trPr>
        <w:tc>
          <w:tcPr>
            <w:tcW w:w="594" w:type="dxa"/>
            <w:vMerge/>
            <w:vAlign w:val="center"/>
          </w:tcPr>
          <w:p w:rsidR="00C72D44" w:rsidRPr="005D5842" w:rsidRDefault="00C72D44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C72D44" w:rsidRPr="005D5842" w:rsidRDefault="00C72D44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C72D44" w:rsidRPr="005D5842" w:rsidTr="000350C7">
        <w:trPr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D44" w:rsidRPr="005D5842" w:rsidTr="000350C7">
        <w:trPr>
          <w:trHeight w:val="714"/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eastAsia="Calibri" w:hAnsi="Times New Roman" w:cs="Times New Roman"/>
                <w:sz w:val="24"/>
                <w:szCs w:val="24"/>
              </w:rPr>
              <w:t>Среднештамбовая, однорукавная с сучками и свободным расположением зеленых побегов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C72D44" w:rsidRPr="005D5842" w:rsidTr="000350C7">
        <w:trPr>
          <w:trHeight w:val="795"/>
          <w:jc w:val="center"/>
        </w:trPr>
        <w:tc>
          <w:tcPr>
            <w:tcW w:w="594" w:type="dxa"/>
            <w:vAlign w:val="center"/>
          </w:tcPr>
          <w:p w:rsidR="00C72D44" w:rsidRPr="005D5842" w:rsidRDefault="00372E38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eastAsia="Calibri" w:hAnsi="Times New Roman" w:cs="Times New Roman"/>
                <w:sz w:val="24"/>
                <w:szCs w:val="24"/>
              </w:rPr>
              <w:t>Среднештамбовая, двухрукавная с сучками и свободным расположением зеленых побегов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C72D44" w:rsidRPr="005D5842" w:rsidTr="000350C7">
        <w:trPr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Высокоштамбовая, однорукавная с сучками и свободным свисанием зеленых побегов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</w:tr>
      <w:tr w:rsidR="00C72D44" w:rsidRPr="005D5842" w:rsidTr="000350C7">
        <w:trPr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Высокоштамбовая, двухрукавная с сучками и свободным свисанием зеленых побегов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</w:tr>
      <w:tr w:rsidR="00C72D44" w:rsidRPr="005D5842" w:rsidTr="000350C7">
        <w:trPr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eastAsia="Calibri" w:hAnsi="Times New Roman" w:cs="Times New Roman"/>
                <w:sz w:val="24"/>
                <w:szCs w:val="24"/>
              </w:rPr>
              <w:t>Высокоштамбовый двухрукавный с плодовыми звеньями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3" w:type="dxa"/>
            <w:vAlign w:val="center"/>
          </w:tcPr>
          <w:p w:rsidR="00C72D44" w:rsidRPr="005D5842" w:rsidRDefault="00E476CD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vAlign w:val="center"/>
          </w:tcPr>
          <w:p w:rsidR="00C72D44" w:rsidRPr="005D5842" w:rsidRDefault="00E476CD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C72D44" w:rsidRPr="005D5842" w:rsidTr="000350C7">
        <w:trPr>
          <w:jc w:val="center"/>
        </w:trPr>
        <w:tc>
          <w:tcPr>
            <w:tcW w:w="594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vAlign w:val="center"/>
          </w:tcPr>
          <w:p w:rsidR="00C72D44" w:rsidRPr="005D5842" w:rsidRDefault="00C72D44" w:rsidP="005D5842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sz w:val="24"/>
                <w:szCs w:val="24"/>
              </w:rPr>
              <w:t>Контроль (короткорукавная низкоштамбовая)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center"/>
          </w:tcPr>
          <w:p w:rsidR="00C72D44" w:rsidRPr="005D5842" w:rsidRDefault="00C72D44" w:rsidP="00372E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</w:tbl>
    <w:p w:rsidR="00C72D44" w:rsidRPr="005D5842" w:rsidRDefault="00FC6F57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За время исследования ростовая активность побегов была высокой, рост побегов начинался в начале апреля и проходил  с начало медленно и увеличиваясь в течении всего вегетационного периода, пик роста приходился на июль месяц, возможно это было связано с тем что в этот период выпадало наибольшее количество осадков за летние месяцы, в августе месяце рост побегов замедлялся и в сентябре останавливался полностью</w:t>
      </w:r>
      <w:r w:rsidR="00E476CD" w:rsidRPr="005D5842">
        <w:rPr>
          <w:rFonts w:ascii="Times New Roman" w:hAnsi="Times New Roman" w:cs="Times New Roman"/>
          <w:sz w:val="24"/>
          <w:szCs w:val="24"/>
        </w:rPr>
        <w:t>, это связано с тем что август месяц в 2017-2018 годах был весьма засушлив, как видно из таблиц за август месяц рост всего увеличивался на 30- 40 см, а у некоторых ещё меньше.</w:t>
      </w:r>
    </w:p>
    <w:p w:rsidR="00E476CD" w:rsidRPr="005D5842" w:rsidRDefault="00E476CD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lastRenderedPageBreak/>
        <w:t xml:space="preserve">Из 5 вариантов опыта по росту выделились высокоштамбовые </w:t>
      </w:r>
      <w:r w:rsidR="008A0005" w:rsidRPr="005D5842">
        <w:rPr>
          <w:rFonts w:ascii="Times New Roman" w:hAnsi="Times New Roman" w:cs="Times New Roman"/>
          <w:sz w:val="24"/>
          <w:szCs w:val="24"/>
        </w:rPr>
        <w:t xml:space="preserve">двухрукавные </w:t>
      </w:r>
      <w:r w:rsidRPr="005D5842">
        <w:rPr>
          <w:rFonts w:ascii="Times New Roman" w:hAnsi="Times New Roman" w:cs="Times New Roman"/>
          <w:sz w:val="24"/>
          <w:szCs w:val="24"/>
        </w:rPr>
        <w:t>формировки</w:t>
      </w:r>
      <w:r w:rsidR="008A0005" w:rsidRPr="005D5842">
        <w:rPr>
          <w:rFonts w:ascii="Times New Roman" w:hAnsi="Times New Roman" w:cs="Times New Roman"/>
          <w:sz w:val="24"/>
          <w:szCs w:val="24"/>
        </w:rPr>
        <w:t xml:space="preserve"> с сучками и свободным свисанием побегов, а также плодовыми звеньями, у данных вариантов лозы выросли от 4 до 5 метров. Среднештамбовые формировки показали средние показатели роста, наименьший рост отмечен у контроля.</w:t>
      </w:r>
    </w:p>
    <w:p w:rsidR="00124532" w:rsidRPr="005D5842" w:rsidRDefault="00895F99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="00124532" w:rsidRPr="005D58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24532" w:rsidRPr="005D5842">
        <w:rPr>
          <w:rFonts w:ascii="Times New Roman" w:hAnsi="Times New Roman" w:cs="Times New Roman"/>
          <w:sz w:val="24"/>
          <w:szCs w:val="24"/>
        </w:rPr>
        <w:t xml:space="preserve">Исходя из полученных данных, </w:t>
      </w:r>
      <w:r w:rsidR="00FA496B" w:rsidRPr="005D5842">
        <w:rPr>
          <w:rFonts w:ascii="Times New Roman" w:hAnsi="Times New Roman" w:cs="Times New Roman"/>
          <w:sz w:val="24"/>
          <w:szCs w:val="24"/>
        </w:rPr>
        <w:t>следует,</w:t>
      </w:r>
      <w:r w:rsidR="00124532" w:rsidRPr="005D5842">
        <w:rPr>
          <w:rFonts w:ascii="Times New Roman" w:hAnsi="Times New Roman" w:cs="Times New Roman"/>
          <w:sz w:val="24"/>
          <w:szCs w:val="24"/>
        </w:rPr>
        <w:t xml:space="preserve"> что на ростовую активность побегов подвоя  значительное влияние оказывает выбор  формировок</w:t>
      </w:r>
      <w:r w:rsidR="00FA496B" w:rsidRPr="005D5842">
        <w:rPr>
          <w:rFonts w:ascii="Times New Roman" w:hAnsi="Times New Roman" w:cs="Times New Roman"/>
          <w:sz w:val="24"/>
          <w:szCs w:val="24"/>
        </w:rPr>
        <w:t>, наиболее эффективными являются высокоштамбовые формы кустов, и само свободное расположение и свисание провоцируют более сильному росту. Исследования по этой тематики ещё ведутся и в дальнейшем нам дадут более чёткую картину, на сколько контрастно отличаются рост в зависимости от формировок.</w:t>
      </w:r>
    </w:p>
    <w:p w:rsidR="002365D2" w:rsidRPr="005D5842" w:rsidRDefault="002365D2" w:rsidP="005D5842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842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F8358B" w:rsidRPr="005D5842" w:rsidRDefault="00F8358B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1. Виноградарство / под ред. К.В. Смирнова.</w:t>
      </w:r>
      <w:r w:rsidR="0047372E" w:rsidRPr="005D5842">
        <w:rPr>
          <w:rFonts w:ascii="Times New Roman" w:hAnsi="Times New Roman" w:cs="Times New Roman"/>
          <w:sz w:val="24"/>
          <w:szCs w:val="24"/>
        </w:rPr>
        <w:t xml:space="preserve"> - М.: Изд-во МСХА, 1998. - 511</w:t>
      </w:r>
      <w:r w:rsidRPr="005D5842">
        <w:rPr>
          <w:rFonts w:ascii="Times New Roman" w:hAnsi="Times New Roman" w:cs="Times New Roman"/>
          <w:sz w:val="24"/>
          <w:szCs w:val="24"/>
        </w:rPr>
        <w:t>с.</w:t>
      </w:r>
    </w:p>
    <w:p w:rsidR="00F8358B" w:rsidRPr="005D5842" w:rsidRDefault="00C259B8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2. Ждамарова, О.Е. Плодоносность</w:t>
      </w:r>
      <w:r w:rsidR="00F8358B" w:rsidRPr="005D5842">
        <w:rPr>
          <w:rFonts w:ascii="Times New Roman" w:hAnsi="Times New Roman" w:cs="Times New Roman"/>
          <w:sz w:val="24"/>
          <w:szCs w:val="24"/>
        </w:rPr>
        <w:t xml:space="preserve"> почек винограда и особенности ее формирования / О.Е. Ждамарова, П.П. Радчевский. - Краснодар, 2009. - 184 с.</w:t>
      </w:r>
    </w:p>
    <w:p w:rsidR="00C259B8" w:rsidRPr="005D5842" w:rsidRDefault="00F8358B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 xml:space="preserve">3. </w:t>
      </w:r>
      <w:r w:rsidR="00C259B8" w:rsidRPr="005D5842">
        <w:rPr>
          <w:rFonts w:ascii="Times New Roman" w:hAnsi="Times New Roman" w:cs="Times New Roman"/>
          <w:sz w:val="24"/>
          <w:szCs w:val="24"/>
        </w:rPr>
        <w:t>Маточники винограда / рекомендации для виноградарских хозяйств Краснодарского края. Краснодар 2000 год.</w:t>
      </w:r>
    </w:p>
    <w:p w:rsidR="00C259B8" w:rsidRPr="005D5842" w:rsidRDefault="00C259B8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4. Павлюкова Т. П. Зависимость продуктивности винограда от антропогенных факторов / Т.П. Павлюкова, Д.Э. Руссо // Виноделие и виноградарство. - 2010. №5. - С. 34-35.</w:t>
      </w:r>
    </w:p>
    <w:p w:rsidR="00C259B8" w:rsidRPr="005D5842" w:rsidRDefault="00C259B8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>5. Петров В.С.  Ростовая активность винограда сорта рислинг в зависимости от площади питания кустов / В.С. Петров,  Т.П. Павлюкова // Плодоводство и виноградарство Юга России № 46(04), 2017 г.</w:t>
      </w:r>
    </w:p>
    <w:p w:rsidR="00C259B8" w:rsidRPr="005D5842" w:rsidRDefault="0047372E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42">
        <w:rPr>
          <w:rFonts w:ascii="Times New Roman" w:hAnsi="Times New Roman" w:cs="Times New Roman"/>
          <w:sz w:val="24"/>
          <w:szCs w:val="24"/>
        </w:rPr>
        <w:t xml:space="preserve">6. </w:t>
      </w:r>
      <w:r w:rsidR="00C259B8" w:rsidRPr="005D5842">
        <w:rPr>
          <w:rFonts w:ascii="Times New Roman" w:hAnsi="Times New Roman" w:cs="Times New Roman"/>
          <w:sz w:val="24"/>
          <w:szCs w:val="24"/>
        </w:rPr>
        <w:t>Чулков, В.В. Роль побегов различной силы роста в формировании продуктивности винограда / В.В. Чулков, В.С. Петров, В.В. Кудряшова // Виноделие и виноградарство. - 2009. №1. - С.32-33.</w:t>
      </w:r>
    </w:p>
    <w:p w:rsidR="0047372E" w:rsidRPr="005D5842" w:rsidRDefault="0047372E" w:rsidP="005D58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372E" w:rsidRPr="005D5842" w:rsidSect="005D5842">
      <w:pgSz w:w="11906" w:h="16838"/>
      <w:pgMar w:top="1701" w:right="130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15D"/>
    <w:multiLevelType w:val="hybridMultilevel"/>
    <w:tmpl w:val="06C2ACD6"/>
    <w:lvl w:ilvl="0" w:tplc="D15AE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C516D"/>
    <w:multiLevelType w:val="hybridMultilevel"/>
    <w:tmpl w:val="CFF8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BD"/>
    <w:rsid w:val="000350C7"/>
    <w:rsid w:val="00094189"/>
    <w:rsid w:val="00124532"/>
    <w:rsid w:val="00197CFC"/>
    <w:rsid w:val="001F0945"/>
    <w:rsid w:val="002365D2"/>
    <w:rsid w:val="00242775"/>
    <w:rsid w:val="00242DB8"/>
    <w:rsid w:val="00273F64"/>
    <w:rsid w:val="002A2CDD"/>
    <w:rsid w:val="002D0297"/>
    <w:rsid w:val="003318E2"/>
    <w:rsid w:val="00351D0A"/>
    <w:rsid w:val="0036613E"/>
    <w:rsid w:val="00372E38"/>
    <w:rsid w:val="003B1052"/>
    <w:rsid w:val="003D6366"/>
    <w:rsid w:val="003F7F62"/>
    <w:rsid w:val="004626FC"/>
    <w:rsid w:val="0047372E"/>
    <w:rsid w:val="00491F1C"/>
    <w:rsid w:val="004C5937"/>
    <w:rsid w:val="00534D0F"/>
    <w:rsid w:val="00543AB6"/>
    <w:rsid w:val="0055341B"/>
    <w:rsid w:val="005D5842"/>
    <w:rsid w:val="005E220E"/>
    <w:rsid w:val="00603C9A"/>
    <w:rsid w:val="006F03DA"/>
    <w:rsid w:val="00712332"/>
    <w:rsid w:val="007202C8"/>
    <w:rsid w:val="00791BA7"/>
    <w:rsid w:val="007A318D"/>
    <w:rsid w:val="007B3E38"/>
    <w:rsid w:val="008009D0"/>
    <w:rsid w:val="008121BD"/>
    <w:rsid w:val="00814AC5"/>
    <w:rsid w:val="00841901"/>
    <w:rsid w:val="0089577A"/>
    <w:rsid w:val="00895F99"/>
    <w:rsid w:val="008A0005"/>
    <w:rsid w:val="008F71CD"/>
    <w:rsid w:val="009509F7"/>
    <w:rsid w:val="00965A24"/>
    <w:rsid w:val="009D6D79"/>
    <w:rsid w:val="00A4459E"/>
    <w:rsid w:val="00AD4BB0"/>
    <w:rsid w:val="00B478C4"/>
    <w:rsid w:val="00B562F4"/>
    <w:rsid w:val="00B94E30"/>
    <w:rsid w:val="00C14F70"/>
    <w:rsid w:val="00C259B8"/>
    <w:rsid w:val="00C72D44"/>
    <w:rsid w:val="00C81060"/>
    <w:rsid w:val="00D03A6D"/>
    <w:rsid w:val="00D07ECE"/>
    <w:rsid w:val="00D52972"/>
    <w:rsid w:val="00D53D7D"/>
    <w:rsid w:val="00D90791"/>
    <w:rsid w:val="00DF4730"/>
    <w:rsid w:val="00E077B6"/>
    <w:rsid w:val="00E35C04"/>
    <w:rsid w:val="00E476CD"/>
    <w:rsid w:val="00E625FD"/>
    <w:rsid w:val="00EE1DD5"/>
    <w:rsid w:val="00EF320B"/>
    <w:rsid w:val="00F066C1"/>
    <w:rsid w:val="00F45335"/>
    <w:rsid w:val="00F656EB"/>
    <w:rsid w:val="00F80561"/>
    <w:rsid w:val="00F8358B"/>
    <w:rsid w:val="00FA496B"/>
    <w:rsid w:val="00FA7FDA"/>
    <w:rsid w:val="00FB4C7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758C-9463-43B0-92F2-79EAE3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75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5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3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907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C7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72D44"/>
    <w:pPr>
      <w:spacing w:after="0" w:line="240" w:lineRule="auto"/>
    </w:pPr>
  </w:style>
  <w:style w:type="character" w:customStyle="1" w:styleId="hps">
    <w:name w:val="hps"/>
    <w:basedOn w:val="a0"/>
    <w:rsid w:val="0089577A"/>
  </w:style>
  <w:style w:type="character" w:styleId="aa">
    <w:name w:val="Hyperlink"/>
    <w:basedOn w:val="a0"/>
    <w:uiPriority w:val="99"/>
    <w:unhideWhenUsed/>
    <w:rsid w:val="0071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addressbook/view/a-5QVFXE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Рис.1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Средние показатели температуры воздуха за 2 года исследования.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1.9</c:v>
                </c:pt>
                <c:pt idx="1">
                  <c:v>2.8</c:v>
                </c:pt>
                <c:pt idx="2">
                  <c:v>8.1</c:v>
                </c:pt>
                <c:pt idx="3">
                  <c:v>9.8000000000000007</c:v>
                </c:pt>
                <c:pt idx="4">
                  <c:v>14.9</c:v>
                </c:pt>
                <c:pt idx="5">
                  <c:v>20.5</c:v>
                </c:pt>
                <c:pt idx="6">
                  <c:v>23.4</c:v>
                </c:pt>
                <c:pt idx="7">
                  <c:v>25.2</c:v>
                </c:pt>
                <c:pt idx="8">
                  <c:v>20.100000000000001</c:v>
                </c:pt>
                <c:pt idx="9">
                  <c:v>12.4</c:v>
                </c:pt>
                <c:pt idx="10">
                  <c:v>7.8</c:v>
                </c:pt>
                <c:pt idx="11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9-4E8C-BF33-0AD41C6CEA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2.7</c:v>
                </c:pt>
                <c:pt idx="1">
                  <c:v>3.8</c:v>
                </c:pt>
                <c:pt idx="2">
                  <c:v>6.8</c:v>
                </c:pt>
                <c:pt idx="3">
                  <c:v>13.5</c:v>
                </c:pt>
                <c:pt idx="4">
                  <c:v>18.899999999999999</c:v>
                </c:pt>
                <c:pt idx="5">
                  <c:v>22.6</c:v>
                </c:pt>
                <c:pt idx="6">
                  <c:v>24.8</c:v>
                </c:pt>
                <c:pt idx="7">
                  <c:v>25.6</c:v>
                </c:pt>
                <c:pt idx="8">
                  <c:v>18.899999999999999</c:v>
                </c:pt>
                <c:pt idx="9">
                  <c:v>14.7</c:v>
                </c:pt>
                <c:pt idx="10">
                  <c:v>5.0999999999999996</c:v>
                </c:pt>
                <c:pt idx="11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A9-4E8C-BF33-0AD41C6CE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559360"/>
        <c:axId val="1652555008"/>
      </c:barChart>
      <c:catAx>
        <c:axId val="165255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2555008"/>
        <c:crosses val="autoZero"/>
        <c:auto val="1"/>
        <c:lblAlgn val="ctr"/>
        <c:lblOffset val="100"/>
        <c:noMultiLvlLbl val="0"/>
      </c:catAx>
      <c:valAx>
        <c:axId val="1652555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температура воздуха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°С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652559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Рис.2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Количество осадков за 2 года исследования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52537182852145"/>
          <c:y val="3.174603174603174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45.5</c:v>
                </c:pt>
                <c:pt idx="1">
                  <c:v>60.1</c:v>
                </c:pt>
                <c:pt idx="2">
                  <c:v>57.6</c:v>
                </c:pt>
                <c:pt idx="3">
                  <c:v>77.2</c:v>
                </c:pt>
                <c:pt idx="4">
                  <c:v>88.4</c:v>
                </c:pt>
                <c:pt idx="5">
                  <c:v>4.5999999999999996</c:v>
                </c:pt>
                <c:pt idx="6">
                  <c:v>114.4</c:v>
                </c:pt>
                <c:pt idx="7">
                  <c:v>19</c:v>
                </c:pt>
                <c:pt idx="8">
                  <c:v>79.2</c:v>
                </c:pt>
                <c:pt idx="9">
                  <c:v>85</c:v>
                </c:pt>
                <c:pt idx="10">
                  <c:v>62.6</c:v>
                </c:pt>
                <c:pt idx="11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9F0-4B66-BD1D-45A3A1ED1B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53.4</c:v>
                </c:pt>
                <c:pt idx="1">
                  <c:v>55.8</c:v>
                </c:pt>
                <c:pt idx="2">
                  <c:v>80.400000000000006</c:v>
                </c:pt>
                <c:pt idx="3">
                  <c:v>13.8</c:v>
                </c:pt>
                <c:pt idx="4">
                  <c:v>31.8</c:v>
                </c:pt>
                <c:pt idx="5">
                  <c:v>1.2</c:v>
                </c:pt>
                <c:pt idx="6">
                  <c:v>100.8</c:v>
                </c:pt>
                <c:pt idx="7">
                  <c:v>3.2</c:v>
                </c:pt>
                <c:pt idx="8">
                  <c:v>99.2</c:v>
                </c:pt>
                <c:pt idx="9">
                  <c:v>40.200000000000003</c:v>
                </c:pt>
                <c:pt idx="10">
                  <c:v>57.8</c:v>
                </c:pt>
                <c:pt idx="11">
                  <c:v>269.60000000000002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9F0-4B66-BD1D-45A3A1ED1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2557728"/>
        <c:axId val="1652560448"/>
      </c:lineChart>
      <c:catAx>
        <c:axId val="165255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2560448"/>
        <c:crosses val="autoZero"/>
        <c:auto val="1"/>
        <c:lblAlgn val="ctr"/>
        <c:lblOffset val="100"/>
        <c:noMultiLvlLbl val="0"/>
      </c:catAx>
      <c:valAx>
        <c:axId val="1652560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Осадки</a:t>
                </a:r>
                <a:r>
                  <a:rPr lang="ru-RU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мл</a:t>
                </a:r>
                <a:endParaRPr lang="ru-RU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462962962962962E-2"/>
              <c:y val="0.34442319710036245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crossAx val="1652557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5FE2-2F18-4AE3-8D45-8E0BDDA8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30</cp:revision>
  <dcterms:created xsi:type="dcterms:W3CDTF">2019-08-05T07:35:00Z</dcterms:created>
  <dcterms:modified xsi:type="dcterms:W3CDTF">2019-10-04T05:59:00Z</dcterms:modified>
</cp:coreProperties>
</file>