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98" w:rsidRDefault="00B10198" w:rsidP="00B10198">
      <w:pPr>
        <w:ind w:firstLine="708"/>
        <w:jc w:val="both"/>
        <w:rPr>
          <w:bCs/>
          <w:szCs w:val="28"/>
        </w:rPr>
      </w:pPr>
      <w:r>
        <w:rPr>
          <w:b/>
          <w:szCs w:val="28"/>
        </w:rPr>
        <w:t xml:space="preserve">УДК </w:t>
      </w:r>
      <w:r w:rsidRPr="00BF7527">
        <w:rPr>
          <w:szCs w:val="28"/>
        </w:rPr>
        <w:t>634.72</w:t>
      </w:r>
      <w:r w:rsidRPr="00BF7527">
        <w:rPr>
          <w:bCs/>
          <w:szCs w:val="28"/>
        </w:rPr>
        <w:t>: 581.149</w:t>
      </w:r>
    </w:p>
    <w:p w:rsidR="008220E8" w:rsidRDefault="008220E8" w:rsidP="00B10198">
      <w:pPr>
        <w:ind w:firstLine="708"/>
        <w:jc w:val="both"/>
        <w:rPr>
          <w:bCs/>
          <w:szCs w:val="28"/>
        </w:rPr>
      </w:pPr>
    </w:p>
    <w:p w:rsidR="008220E8" w:rsidRPr="009019C1" w:rsidRDefault="008220E8" w:rsidP="00861A63">
      <w:pPr>
        <w:pStyle w:val="a4"/>
        <w:jc w:val="center"/>
        <w:rPr>
          <w:b/>
          <w:bCs/>
          <w:szCs w:val="28"/>
        </w:rPr>
      </w:pPr>
      <w:r w:rsidRPr="00861A63">
        <w:rPr>
          <w:b/>
          <w:bCs/>
          <w:szCs w:val="28"/>
        </w:rPr>
        <w:t xml:space="preserve">ОПТИМИЗАЦИЯ УСЛОВИЙ ДЛИТЕЛЬНОГО ДЕПОНИРОВАНИЯ </w:t>
      </w:r>
      <w:r w:rsidR="00861A63" w:rsidRPr="00861A63">
        <w:rPr>
          <w:b/>
          <w:bCs/>
          <w:i/>
          <w:szCs w:val="28"/>
          <w:lang w:val="en-US"/>
        </w:rPr>
        <w:t>RUBUS</w:t>
      </w:r>
      <w:r w:rsidR="00861A63" w:rsidRPr="00861A63">
        <w:rPr>
          <w:b/>
          <w:bCs/>
          <w:i/>
          <w:szCs w:val="28"/>
        </w:rPr>
        <w:t xml:space="preserve"> </w:t>
      </w:r>
      <w:r w:rsidR="00861A63" w:rsidRPr="00861A63">
        <w:rPr>
          <w:b/>
          <w:bCs/>
          <w:i/>
          <w:szCs w:val="28"/>
          <w:lang w:val="en-US"/>
        </w:rPr>
        <w:t>IDAEUS</w:t>
      </w:r>
      <w:r w:rsidR="00861A63" w:rsidRPr="00861A63">
        <w:rPr>
          <w:b/>
          <w:bCs/>
          <w:szCs w:val="28"/>
        </w:rPr>
        <w:t xml:space="preserve"> </w:t>
      </w:r>
      <w:r w:rsidR="00861A63" w:rsidRPr="00861A63">
        <w:rPr>
          <w:b/>
          <w:bCs/>
          <w:szCs w:val="28"/>
          <w:lang w:val="en-US"/>
        </w:rPr>
        <w:t>L</w:t>
      </w:r>
      <w:r w:rsidR="00861A63" w:rsidRPr="00861A63">
        <w:rPr>
          <w:b/>
          <w:bCs/>
          <w:szCs w:val="28"/>
        </w:rPr>
        <w:t xml:space="preserve">. </w:t>
      </w:r>
    </w:p>
    <w:p w:rsidR="00861A63" w:rsidRPr="009019C1" w:rsidRDefault="00861A63" w:rsidP="00861A63">
      <w:pPr>
        <w:pStyle w:val="a4"/>
        <w:jc w:val="center"/>
        <w:rPr>
          <w:b/>
        </w:rPr>
      </w:pPr>
    </w:p>
    <w:p w:rsidR="008220E8" w:rsidRPr="00345072" w:rsidRDefault="008220E8" w:rsidP="008220E8">
      <w:pPr>
        <w:jc w:val="center"/>
        <w:rPr>
          <w:i/>
          <w:caps/>
        </w:rPr>
      </w:pPr>
      <w:r>
        <w:t>Князева</w:t>
      </w:r>
      <w:r w:rsidRPr="00345072">
        <w:t xml:space="preserve"> </w:t>
      </w:r>
      <w:r>
        <w:t>И</w:t>
      </w:r>
      <w:r w:rsidRPr="00345072">
        <w:t>.</w:t>
      </w:r>
      <w:r>
        <w:t>В</w:t>
      </w:r>
      <w:r w:rsidRPr="00345072">
        <w:t xml:space="preserve">., </w:t>
      </w:r>
      <w:r>
        <w:rPr>
          <w:i/>
        </w:rPr>
        <w:t>к.</w:t>
      </w:r>
      <w:r w:rsidRPr="00345072">
        <w:rPr>
          <w:i/>
        </w:rPr>
        <w:t xml:space="preserve"> </w:t>
      </w:r>
      <w:r>
        <w:rPr>
          <w:i/>
        </w:rPr>
        <w:t>б</w:t>
      </w:r>
      <w:r w:rsidRPr="00345072">
        <w:rPr>
          <w:i/>
        </w:rPr>
        <w:t xml:space="preserve">. наук, </w:t>
      </w:r>
    </w:p>
    <w:p w:rsidR="008220E8" w:rsidRPr="00345072" w:rsidRDefault="008220E8" w:rsidP="008220E8">
      <w:pPr>
        <w:widowControl w:val="0"/>
        <w:jc w:val="center"/>
        <w:rPr>
          <w:i/>
        </w:rPr>
      </w:pPr>
      <w:r w:rsidRPr="00345072">
        <w:rPr>
          <w:i/>
        </w:rPr>
        <w:t>Федеральное государственное бюджетное научное учреждение "</w:t>
      </w:r>
      <w:r w:rsidRPr="005A3442">
        <w:rPr>
          <w:rStyle w:val="a3"/>
          <w:b w:val="0"/>
          <w:i/>
          <w:color w:val="000000"/>
          <w:szCs w:val="28"/>
          <w:bdr w:val="none" w:sz="0" w:space="0" w:color="auto" w:frame="1"/>
        </w:rPr>
        <w:t>Всероссийский селекционно-технологический институт садоводства и питомниководства</w:t>
      </w:r>
      <w:r w:rsidRPr="005A3442">
        <w:rPr>
          <w:b/>
          <w:i/>
          <w:szCs w:val="28"/>
        </w:rPr>
        <w:t>"</w:t>
      </w:r>
      <w:r w:rsidRPr="00345072">
        <w:rPr>
          <w:i/>
        </w:rPr>
        <w:t xml:space="preserve"> (</w:t>
      </w:r>
      <w:r>
        <w:rPr>
          <w:i/>
        </w:rPr>
        <w:t>Москва</w:t>
      </w:r>
      <w:r w:rsidRPr="00345072">
        <w:rPr>
          <w:i/>
        </w:rPr>
        <w:t>)</w:t>
      </w:r>
    </w:p>
    <w:p w:rsidR="008220E8" w:rsidRDefault="008220E8" w:rsidP="008220E8">
      <w:pPr>
        <w:spacing w:line="360" w:lineRule="auto"/>
        <w:ind w:firstLine="708"/>
        <w:jc w:val="center"/>
        <w:rPr>
          <w:b/>
          <w:szCs w:val="28"/>
        </w:rPr>
      </w:pPr>
    </w:p>
    <w:p w:rsidR="00DE6EE2" w:rsidRPr="00702641" w:rsidRDefault="008220E8" w:rsidP="00702641">
      <w:pPr>
        <w:ind w:firstLine="567"/>
        <w:jc w:val="both"/>
        <w:rPr>
          <w:b/>
          <w:i/>
          <w:sz w:val="24"/>
          <w:szCs w:val="24"/>
        </w:rPr>
      </w:pPr>
      <w:r w:rsidRPr="00EE7FAC">
        <w:rPr>
          <w:b/>
          <w:i/>
          <w:sz w:val="24"/>
          <w:szCs w:val="24"/>
        </w:rPr>
        <w:t>Реферат.</w:t>
      </w:r>
      <w:r w:rsidR="00EF1F09" w:rsidRPr="00EF1F09">
        <w:rPr>
          <w:sz w:val="24"/>
          <w:szCs w:val="24"/>
        </w:rPr>
        <w:t xml:space="preserve"> </w:t>
      </w:r>
      <w:r w:rsidR="00EF1F09" w:rsidRPr="00A443EB">
        <w:rPr>
          <w:sz w:val="24"/>
          <w:szCs w:val="24"/>
        </w:rPr>
        <w:t xml:space="preserve">Разработка эффективных методов клонального микроразмножения растений является основным и необходимым условием в работах по созданию и сохранению генетических банков </w:t>
      </w:r>
      <w:r w:rsidR="00EF1F09" w:rsidRPr="00A443EB">
        <w:rPr>
          <w:i/>
          <w:sz w:val="24"/>
          <w:szCs w:val="24"/>
          <w:lang w:val="en-US"/>
        </w:rPr>
        <w:t>in</w:t>
      </w:r>
      <w:r w:rsidR="00EF1F09" w:rsidRPr="00A443EB">
        <w:rPr>
          <w:i/>
          <w:sz w:val="24"/>
          <w:szCs w:val="24"/>
        </w:rPr>
        <w:t xml:space="preserve"> </w:t>
      </w:r>
      <w:r w:rsidR="00EF1F09" w:rsidRPr="00A443EB">
        <w:rPr>
          <w:i/>
          <w:sz w:val="24"/>
          <w:szCs w:val="24"/>
          <w:lang w:val="en-US"/>
        </w:rPr>
        <w:t>vitro</w:t>
      </w:r>
      <w:r w:rsidR="00EF1F09" w:rsidRPr="00A443EB">
        <w:rPr>
          <w:sz w:val="24"/>
          <w:szCs w:val="24"/>
        </w:rPr>
        <w:t>.</w:t>
      </w:r>
      <w:r w:rsidR="00702641">
        <w:rPr>
          <w:b/>
          <w:i/>
          <w:sz w:val="24"/>
          <w:szCs w:val="24"/>
        </w:rPr>
        <w:t xml:space="preserve"> </w:t>
      </w:r>
      <w:r w:rsidR="00EF1F09">
        <w:rPr>
          <w:sz w:val="24"/>
          <w:szCs w:val="24"/>
        </w:rPr>
        <w:t>И</w:t>
      </w:r>
      <w:r w:rsidR="00DE6EE2" w:rsidRPr="005728D7">
        <w:rPr>
          <w:sz w:val="24"/>
          <w:szCs w:val="24"/>
        </w:rPr>
        <w:t>зучени</w:t>
      </w:r>
      <w:r w:rsidR="00EF1F09">
        <w:rPr>
          <w:sz w:val="24"/>
          <w:szCs w:val="24"/>
        </w:rPr>
        <w:t>е</w:t>
      </w:r>
      <w:r w:rsidR="00DE6EE2" w:rsidRPr="005728D7">
        <w:rPr>
          <w:sz w:val="24"/>
          <w:szCs w:val="24"/>
        </w:rPr>
        <w:t xml:space="preserve"> </w:t>
      </w:r>
      <w:r w:rsidR="00EF1F09">
        <w:rPr>
          <w:sz w:val="24"/>
          <w:szCs w:val="24"/>
        </w:rPr>
        <w:t>действия</w:t>
      </w:r>
      <w:r w:rsidR="00DE6EE2" w:rsidRPr="005728D7">
        <w:rPr>
          <w:sz w:val="24"/>
          <w:szCs w:val="24"/>
        </w:rPr>
        <w:t xml:space="preserve"> температурного режима и минеральног</w:t>
      </w:r>
      <w:r w:rsidR="00EF1F09">
        <w:rPr>
          <w:sz w:val="24"/>
          <w:szCs w:val="24"/>
        </w:rPr>
        <w:t>о состава питательной среды на сох</w:t>
      </w:r>
      <w:r w:rsidR="00DE6EE2" w:rsidRPr="005728D7">
        <w:rPr>
          <w:sz w:val="24"/>
          <w:szCs w:val="24"/>
        </w:rPr>
        <w:t xml:space="preserve">ранение эксплантов малины </w:t>
      </w:r>
      <w:r w:rsidR="00702641">
        <w:rPr>
          <w:sz w:val="24"/>
          <w:szCs w:val="24"/>
        </w:rPr>
        <w:t>(</w:t>
      </w:r>
      <w:r w:rsidR="00DE6EE2" w:rsidRPr="005728D7">
        <w:rPr>
          <w:sz w:val="24"/>
          <w:szCs w:val="24"/>
        </w:rPr>
        <w:t>сорта Брянское Диво</w:t>
      </w:r>
      <w:r w:rsidR="00702641">
        <w:rPr>
          <w:sz w:val="24"/>
          <w:szCs w:val="24"/>
        </w:rPr>
        <w:t>)</w:t>
      </w:r>
      <w:r w:rsidR="00DE6EE2" w:rsidRPr="005728D7">
        <w:rPr>
          <w:sz w:val="24"/>
          <w:szCs w:val="24"/>
        </w:rPr>
        <w:t xml:space="preserve"> </w:t>
      </w:r>
      <w:r w:rsidR="00EF1F09">
        <w:rPr>
          <w:sz w:val="24"/>
          <w:szCs w:val="24"/>
        </w:rPr>
        <w:t xml:space="preserve">позволило </w:t>
      </w:r>
      <w:r w:rsidR="00DE6EE2" w:rsidRPr="005728D7">
        <w:rPr>
          <w:sz w:val="24"/>
          <w:szCs w:val="24"/>
        </w:rPr>
        <w:t>определ</w:t>
      </w:r>
      <w:r w:rsidR="00EF1F09">
        <w:rPr>
          <w:sz w:val="24"/>
          <w:szCs w:val="24"/>
        </w:rPr>
        <w:t xml:space="preserve">ить </w:t>
      </w:r>
      <w:r w:rsidR="00DE6EE2" w:rsidRPr="005728D7">
        <w:rPr>
          <w:sz w:val="24"/>
          <w:szCs w:val="24"/>
        </w:rPr>
        <w:t>оптимальные условия культивирования</w:t>
      </w:r>
      <w:r w:rsidR="00DE6EE2">
        <w:rPr>
          <w:sz w:val="24"/>
          <w:szCs w:val="24"/>
        </w:rPr>
        <w:t xml:space="preserve"> </w:t>
      </w:r>
      <w:r w:rsidR="00DE6EE2" w:rsidRPr="005728D7">
        <w:rPr>
          <w:sz w:val="24"/>
          <w:szCs w:val="24"/>
        </w:rPr>
        <w:t>на среде с добавлением маннита в концентрациях – 0,</w:t>
      </w:r>
      <w:r w:rsidR="00DE6EE2">
        <w:rPr>
          <w:sz w:val="24"/>
          <w:szCs w:val="24"/>
        </w:rPr>
        <w:t>7</w:t>
      </w:r>
      <w:r w:rsidR="00702641">
        <w:rPr>
          <w:sz w:val="24"/>
          <w:szCs w:val="24"/>
        </w:rPr>
        <w:t xml:space="preserve">5%; </w:t>
      </w:r>
      <w:r w:rsidR="00DE6EE2">
        <w:rPr>
          <w:sz w:val="24"/>
          <w:szCs w:val="24"/>
        </w:rPr>
        <w:t>1</w:t>
      </w:r>
      <w:r w:rsidR="00DE6EE2" w:rsidRPr="005728D7">
        <w:rPr>
          <w:sz w:val="24"/>
          <w:szCs w:val="24"/>
        </w:rPr>
        <w:t>,</w:t>
      </w:r>
      <w:r w:rsidR="00DE6EE2">
        <w:rPr>
          <w:sz w:val="24"/>
          <w:szCs w:val="24"/>
        </w:rPr>
        <w:t>05%</w:t>
      </w:r>
      <w:r w:rsidR="00702641">
        <w:rPr>
          <w:sz w:val="24"/>
          <w:szCs w:val="24"/>
        </w:rPr>
        <w:t xml:space="preserve"> и </w:t>
      </w:r>
      <w:r w:rsidR="00702641" w:rsidRPr="005728D7">
        <w:rPr>
          <w:sz w:val="24"/>
          <w:szCs w:val="24"/>
        </w:rPr>
        <w:t>температуры 25±1</w:t>
      </w:r>
      <w:r w:rsidR="00702641" w:rsidRPr="005728D7">
        <w:rPr>
          <w:sz w:val="24"/>
          <w:szCs w:val="24"/>
          <w:vertAlign w:val="superscript"/>
        </w:rPr>
        <w:t>0</w:t>
      </w:r>
      <w:r w:rsidR="00702641" w:rsidRPr="005728D7">
        <w:rPr>
          <w:sz w:val="24"/>
          <w:szCs w:val="24"/>
        </w:rPr>
        <w:t>С</w:t>
      </w:r>
      <w:r w:rsidR="00DE6EE2" w:rsidRPr="005728D7">
        <w:rPr>
          <w:sz w:val="24"/>
          <w:szCs w:val="24"/>
        </w:rPr>
        <w:t xml:space="preserve">. Совместное использование маннита и температуры позволило увеличить сроки беспересадочного </w:t>
      </w:r>
      <w:r w:rsidR="00EF1F09">
        <w:rPr>
          <w:sz w:val="24"/>
          <w:szCs w:val="24"/>
        </w:rPr>
        <w:t>культивирования</w:t>
      </w:r>
      <w:r w:rsidR="00DE6EE2" w:rsidRPr="005728D7">
        <w:rPr>
          <w:sz w:val="24"/>
          <w:szCs w:val="24"/>
        </w:rPr>
        <w:t xml:space="preserve"> до </w:t>
      </w:r>
      <w:r w:rsidR="00DE6EE2">
        <w:rPr>
          <w:sz w:val="24"/>
          <w:szCs w:val="24"/>
        </w:rPr>
        <w:t>6</w:t>
      </w:r>
      <w:r w:rsidR="00DE6EE2" w:rsidRPr="005728D7">
        <w:rPr>
          <w:sz w:val="24"/>
          <w:szCs w:val="24"/>
        </w:rPr>
        <w:t xml:space="preserve"> месяцев и сохранить жизнеспособность растений на уровне 4</w:t>
      </w:r>
      <w:r w:rsidR="00DE6EE2">
        <w:rPr>
          <w:sz w:val="24"/>
          <w:szCs w:val="24"/>
        </w:rPr>
        <w:t xml:space="preserve">5 </w:t>
      </w:r>
      <w:r w:rsidR="00DE6EE2" w:rsidRPr="005728D7">
        <w:rPr>
          <w:sz w:val="24"/>
          <w:szCs w:val="24"/>
        </w:rPr>
        <w:t>%. При депонировании в условиях низких положительных температур (+4-6</w:t>
      </w:r>
      <w:r w:rsidR="00DE6EE2" w:rsidRPr="005728D7">
        <w:rPr>
          <w:sz w:val="24"/>
          <w:szCs w:val="24"/>
          <w:vertAlign w:val="superscript"/>
        </w:rPr>
        <w:t>0</w:t>
      </w:r>
      <w:r w:rsidR="00DE6EE2" w:rsidRPr="005728D7">
        <w:rPr>
          <w:sz w:val="24"/>
          <w:szCs w:val="24"/>
        </w:rPr>
        <w:t>С) оптимальным источником органического питания оказалась сахароза. Жизнеспособность контрольных образцов была выше (</w:t>
      </w:r>
      <w:r w:rsidR="00DE6EE2">
        <w:rPr>
          <w:sz w:val="24"/>
          <w:szCs w:val="24"/>
        </w:rPr>
        <w:t xml:space="preserve">30 %), чем опытных (5 </w:t>
      </w:r>
      <w:r w:rsidR="00DE6EE2" w:rsidRPr="005728D7">
        <w:rPr>
          <w:sz w:val="24"/>
          <w:szCs w:val="24"/>
        </w:rPr>
        <w:t>%)</w:t>
      </w:r>
      <w:r w:rsidR="00EF1F09">
        <w:rPr>
          <w:sz w:val="24"/>
          <w:szCs w:val="24"/>
        </w:rPr>
        <w:t xml:space="preserve"> на протяжении 12 месяцев среднесрочного хранения</w:t>
      </w:r>
      <w:r w:rsidR="00DE6EE2" w:rsidRPr="005728D7">
        <w:rPr>
          <w:sz w:val="24"/>
          <w:szCs w:val="24"/>
        </w:rPr>
        <w:t>.</w:t>
      </w:r>
    </w:p>
    <w:p w:rsidR="008220E8" w:rsidRPr="00EE7FAC" w:rsidRDefault="008220E8" w:rsidP="00EE7FAC">
      <w:pPr>
        <w:ind w:firstLine="567"/>
        <w:jc w:val="both"/>
        <w:rPr>
          <w:sz w:val="24"/>
          <w:szCs w:val="24"/>
        </w:rPr>
      </w:pPr>
      <w:r w:rsidRPr="00EE7FAC">
        <w:rPr>
          <w:b/>
          <w:i/>
          <w:sz w:val="24"/>
          <w:szCs w:val="24"/>
        </w:rPr>
        <w:t>Ключевые слова:</w:t>
      </w:r>
      <w:r w:rsidR="00EE7FAC" w:rsidRPr="00EE7FAC">
        <w:rPr>
          <w:b/>
          <w:i/>
          <w:sz w:val="24"/>
          <w:szCs w:val="24"/>
        </w:rPr>
        <w:t xml:space="preserve"> </w:t>
      </w:r>
      <w:r w:rsidR="00EE7FAC" w:rsidRPr="00EE7FAC">
        <w:rPr>
          <w:sz w:val="24"/>
          <w:szCs w:val="24"/>
        </w:rPr>
        <w:t>малина,</w:t>
      </w:r>
      <w:r w:rsidR="00EE7FAC" w:rsidRPr="00EE7FAC">
        <w:rPr>
          <w:b/>
          <w:i/>
          <w:sz w:val="24"/>
          <w:szCs w:val="24"/>
        </w:rPr>
        <w:t xml:space="preserve"> </w:t>
      </w:r>
      <w:r w:rsidR="00EE7FAC">
        <w:rPr>
          <w:sz w:val="24"/>
          <w:szCs w:val="24"/>
        </w:rPr>
        <w:t>сохранение, температура,</w:t>
      </w:r>
      <w:r w:rsidR="00DB3D3C" w:rsidRPr="00DB3D3C">
        <w:rPr>
          <w:sz w:val="24"/>
          <w:szCs w:val="24"/>
        </w:rPr>
        <w:t xml:space="preserve"> </w:t>
      </w:r>
      <w:r w:rsidR="00DB3D3C">
        <w:rPr>
          <w:sz w:val="24"/>
          <w:szCs w:val="24"/>
        </w:rPr>
        <w:t>жизнеспособность,</w:t>
      </w:r>
      <w:r w:rsidR="003855CD">
        <w:rPr>
          <w:sz w:val="24"/>
          <w:szCs w:val="24"/>
        </w:rPr>
        <w:t xml:space="preserve"> осмотически активные вещества</w:t>
      </w:r>
      <w:r w:rsidR="00EE7FAC">
        <w:rPr>
          <w:sz w:val="24"/>
          <w:szCs w:val="24"/>
        </w:rPr>
        <w:t>.</w:t>
      </w:r>
    </w:p>
    <w:p w:rsidR="008220E8" w:rsidRPr="00073F6A" w:rsidRDefault="008220E8" w:rsidP="00073F6A">
      <w:pPr>
        <w:ind w:firstLine="567"/>
        <w:jc w:val="both"/>
        <w:rPr>
          <w:rStyle w:val="hps"/>
          <w:b/>
          <w:i/>
          <w:sz w:val="24"/>
          <w:szCs w:val="24"/>
          <w:lang w:val="en-US"/>
        </w:rPr>
      </w:pPr>
      <w:r w:rsidRPr="00EE7FAC">
        <w:rPr>
          <w:rStyle w:val="hps"/>
          <w:b/>
          <w:i/>
          <w:sz w:val="24"/>
          <w:szCs w:val="24"/>
          <w:lang w:val="en-US"/>
        </w:rPr>
        <w:t>Summary</w:t>
      </w:r>
      <w:r w:rsidRPr="00025FAA">
        <w:rPr>
          <w:rStyle w:val="hps"/>
          <w:b/>
          <w:i/>
          <w:sz w:val="24"/>
          <w:szCs w:val="24"/>
          <w:lang w:val="en-US"/>
        </w:rPr>
        <w:t>.</w:t>
      </w:r>
      <w:r w:rsidR="00073F6A" w:rsidRPr="00073F6A">
        <w:rPr>
          <w:rStyle w:val="a3"/>
          <w:lang/>
        </w:rPr>
        <w:t xml:space="preserve"> </w:t>
      </w:r>
      <w:r w:rsidR="00073F6A" w:rsidRPr="00073F6A">
        <w:rPr>
          <w:rStyle w:val="tlid-translation"/>
          <w:sz w:val="24"/>
          <w:szCs w:val="24"/>
          <w:lang/>
        </w:rPr>
        <w:t>The development of effective methods for clonal micropropagation of plants is the main and necessary condition for the creation and conservation of genetic banks in vitro. The study of the effect of the temperature regime and the mineral composition of the nutrient medium on the preservation of raspberry explants (varieties Bryansk Divo) made it possible to determine the optimal cultivation conditions on the medium with the addition of mannitol in concentrations of 0.75%; 1.05% and temperatures 25 ± 10С. The combined use of mannitol and temperature allowed to increase the terms of direct cultivation up to 6 months and maintain the plant viability at the level of 45%. When deposited at low positive temperatures (+ 4-60 ° C), sucrose proved to be the optimal source of organic nutrition. The viability of the control samples was higher (30%) than the experimental ones (5%) during 12 months of medium-term storage.</w:t>
      </w:r>
    </w:p>
    <w:p w:rsidR="00EE7FAC" w:rsidRPr="00DB3D3C" w:rsidRDefault="008220E8" w:rsidP="00090EC0">
      <w:pPr>
        <w:spacing w:line="360" w:lineRule="auto"/>
        <w:ind w:firstLine="567"/>
        <w:jc w:val="both"/>
        <w:rPr>
          <w:sz w:val="24"/>
          <w:szCs w:val="24"/>
          <w:lang w:val="en-US"/>
        </w:rPr>
      </w:pPr>
      <w:r w:rsidRPr="00EE7FAC">
        <w:rPr>
          <w:b/>
          <w:i/>
          <w:sz w:val="24"/>
          <w:szCs w:val="24"/>
          <w:lang w:val="en-US"/>
        </w:rPr>
        <w:t>Key words</w:t>
      </w:r>
      <w:r w:rsidRPr="00EE7FAC">
        <w:rPr>
          <w:b/>
          <w:sz w:val="24"/>
          <w:szCs w:val="24"/>
          <w:lang w:val="en-US"/>
        </w:rPr>
        <w:t>:</w:t>
      </w:r>
      <w:r w:rsidR="00EE7FAC" w:rsidRPr="00EE7FAC">
        <w:rPr>
          <w:b/>
          <w:sz w:val="24"/>
          <w:szCs w:val="24"/>
          <w:lang w:val="en-US"/>
        </w:rPr>
        <w:t xml:space="preserve"> </w:t>
      </w:r>
      <w:r w:rsidR="00EE7FAC" w:rsidRPr="00DB3D3C">
        <w:rPr>
          <w:sz w:val="24"/>
          <w:szCs w:val="24"/>
          <w:lang w:val="en-US"/>
        </w:rPr>
        <w:t xml:space="preserve">raspberry, </w:t>
      </w:r>
      <w:r w:rsidR="00EE7FAC" w:rsidRPr="00DB3D3C">
        <w:rPr>
          <w:color w:val="000000"/>
          <w:sz w:val="24"/>
          <w:szCs w:val="24"/>
          <w:lang w:val="en-US"/>
        </w:rPr>
        <w:t xml:space="preserve">conservation, </w:t>
      </w:r>
      <w:r w:rsidR="00DB3D3C" w:rsidRPr="00DB3D3C">
        <w:rPr>
          <w:sz w:val="24"/>
          <w:szCs w:val="24"/>
          <w:lang w:val="en-US"/>
        </w:rPr>
        <w:t>temperature,</w:t>
      </w:r>
      <w:r w:rsidR="00DB3D3C" w:rsidRPr="00DB3D3C">
        <w:rPr>
          <w:color w:val="000000"/>
          <w:sz w:val="24"/>
          <w:szCs w:val="24"/>
          <w:lang w:val="en-US"/>
        </w:rPr>
        <w:t xml:space="preserve"> viability,</w:t>
      </w:r>
      <w:r w:rsidR="00DB3D3C" w:rsidRPr="00DB3D3C">
        <w:rPr>
          <w:sz w:val="24"/>
          <w:szCs w:val="24"/>
          <w:lang w:val="en-US"/>
        </w:rPr>
        <w:t xml:space="preserve"> osmotically active substances. </w:t>
      </w:r>
    </w:p>
    <w:p w:rsidR="00360978" w:rsidRDefault="008220E8" w:rsidP="00360978">
      <w:pPr>
        <w:ind w:firstLine="567"/>
        <w:jc w:val="both"/>
        <w:rPr>
          <w:kern w:val="28"/>
          <w:sz w:val="24"/>
          <w:szCs w:val="24"/>
        </w:rPr>
      </w:pPr>
      <w:r w:rsidRPr="00A40E1E">
        <w:rPr>
          <w:b/>
          <w:i/>
          <w:sz w:val="24"/>
          <w:szCs w:val="24"/>
        </w:rPr>
        <w:t>Введение.</w:t>
      </w:r>
      <w:r w:rsidRPr="008220E8">
        <w:rPr>
          <w:sz w:val="24"/>
          <w:szCs w:val="24"/>
        </w:rPr>
        <w:t xml:space="preserve"> </w:t>
      </w:r>
      <w:r w:rsidR="00A443EB" w:rsidRPr="00A443EB">
        <w:rPr>
          <w:sz w:val="24"/>
          <w:szCs w:val="24"/>
        </w:rPr>
        <w:t xml:space="preserve">Разработка эффективных методов клонального микроразмножения растений является основным и необходимым условием в работах по созданию и сохранению генетических банков </w:t>
      </w:r>
      <w:r w:rsidR="00A443EB" w:rsidRPr="00A443EB">
        <w:rPr>
          <w:i/>
          <w:sz w:val="24"/>
          <w:szCs w:val="24"/>
          <w:lang w:val="en-US"/>
        </w:rPr>
        <w:t>in</w:t>
      </w:r>
      <w:r w:rsidR="00A443EB" w:rsidRPr="00A443EB">
        <w:rPr>
          <w:i/>
          <w:sz w:val="24"/>
          <w:szCs w:val="24"/>
        </w:rPr>
        <w:t xml:space="preserve"> </w:t>
      </w:r>
      <w:r w:rsidR="00A443EB" w:rsidRPr="00A443EB">
        <w:rPr>
          <w:i/>
          <w:sz w:val="24"/>
          <w:szCs w:val="24"/>
          <w:lang w:val="en-US"/>
        </w:rPr>
        <w:t>vitro</w:t>
      </w:r>
      <w:r w:rsidR="00A443EB" w:rsidRPr="00A443EB">
        <w:rPr>
          <w:sz w:val="24"/>
          <w:szCs w:val="24"/>
        </w:rPr>
        <w:t>.</w:t>
      </w:r>
      <w:r w:rsidR="00A443EB" w:rsidRPr="00A443EB">
        <w:rPr>
          <w:kern w:val="28"/>
          <w:sz w:val="24"/>
          <w:szCs w:val="24"/>
        </w:rPr>
        <w:t xml:space="preserve"> Существуют несколько способов сохранения генофонда высших растений. Один из которых связан с техникой культивирования </w:t>
      </w:r>
      <w:r w:rsidR="00A443EB" w:rsidRPr="00A443EB">
        <w:rPr>
          <w:i/>
          <w:kern w:val="28"/>
          <w:sz w:val="24"/>
          <w:szCs w:val="24"/>
          <w:lang w:val="en-US"/>
        </w:rPr>
        <w:t>in</w:t>
      </w:r>
      <w:r w:rsidR="00A443EB" w:rsidRPr="00A443EB">
        <w:rPr>
          <w:i/>
          <w:kern w:val="28"/>
          <w:sz w:val="24"/>
          <w:szCs w:val="24"/>
        </w:rPr>
        <w:t xml:space="preserve"> </w:t>
      </w:r>
      <w:r w:rsidR="00A443EB" w:rsidRPr="00A443EB">
        <w:rPr>
          <w:i/>
          <w:kern w:val="28"/>
          <w:sz w:val="24"/>
          <w:szCs w:val="24"/>
          <w:lang w:val="en-US"/>
        </w:rPr>
        <w:t>vitro</w:t>
      </w:r>
      <w:r w:rsidR="00A443EB" w:rsidRPr="00A443EB">
        <w:rPr>
          <w:kern w:val="28"/>
          <w:sz w:val="24"/>
          <w:szCs w:val="24"/>
        </w:rPr>
        <w:t xml:space="preserve"> и криосохранением различных объектов при температуре жидкого азота </w:t>
      </w:r>
      <w:r w:rsidR="00A443EB" w:rsidRPr="00A443EB">
        <w:rPr>
          <w:sz w:val="24"/>
          <w:szCs w:val="24"/>
        </w:rPr>
        <w:t>[1, 2</w:t>
      </w:r>
      <w:r w:rsidR="00A443EB" w:rsidRPr="00360978">
        <w:rPr>
          <w:kern w:val="28"/>
          <w:sz w:val="24"/>
          <w:szCs w:val="24"/>
        </w:rPr>
        <w:t xml:space="preserve">]. </w:t>
      </w:r>
    </w:p>
    <w:p w:rsidR="00A443EB" w:rsidRPr="00A443EB" w:rsidRDefault="00A443EB" w:rsidP="00360978">
      <w:pPr>
        <w:ind w:firstLine="567"/>
        <w:jc w:val="both"/>
        <w:rPr>
          <w:rFonts w:eastAsia="TimesNewRomanPSMT"/>
          <w:sz w:val="24"/>
          <w:szCs w:val="24"/>
        </w:rPr>
      </w:pPr>
      <w:r w:rsidRPr="00A443EB">
        <w:rPr>
          <w:kern w:val="28"/>
          <w:sz w:val="24"/>
          <w:szCs w:val="24"/>
        </w:rPr>
        <w:t xml:space="preserve">Хранение </w:t>
      </w:r>
      <w:r w:rsidRPr="00A443EB">
        <w:rPr>
          <w:i/>
          <w:kern w:val="28"/>
          <w:sz w:val="24"/>
          <w:szCs w:val="24"/>
        </w:rPr>
        <w:t>in vitro</w:t>
      </w:r>
      <w:r w:rsidRPr="00A443EB">
        <w:rPr>
          <w:kern w:val="28"/>
          <w:sz w:val="24"/>
          <w:szCs w:val="24"/>
        </w:rPr>
        <w:t xml:space="preserve"> в условиях замедленного роста широко используется в современных генбанках для поддержания органов растений или целых растений в</w:t>
      </w:r>
      <w:r w:rsidRPr="00A443EB">
        <w:rPr>
          <w:sz w:val="24"/>
          <w:szCs w:val="24"/>
        </w:rPr>
        <w:t xml:space="preserve"> условиях, замедляющих темпы развития с целью снижения затрат труда и частоты перемещений, которые могут сопровождаться риском заражения и стрессовыми условиями, создающими в конечном итоге угрозу для генетической стабильно</w:t>
      </w:r>
      <w:r w:rsidR="003855CD">
        <w:rPr>
          <w:sz w:val="24"/>
          <w:szCs w:val="24"/>
        </w:rPr>
        <w:t>сти</w:t>
      </w:r>
      <w:r w:rsidRPr="00A443EB">
        <w:rPr>
          <w:sz w:val="24"/>
          <w:szCs w:val="24"/>
        </w:rPr>
        <w:t xml:space="preserve"> [</w:t>
      </w:r>
      <w:r w:rsidR="00A91F48">
        <w:rPr>
          <w:sz w:val="24"/>
          <w:szCs w:val="24"/>
        </w:rPr>
        <w:t>3</w:t>
      </w:r>
      <w:r w:rsidRPr="00A443EB">
        <w:rPr>
          <w:sz w:val="24"/>
          <w:szCs w:val="24"/>
        </w:rPr>
        <w:t>].</w:t>
      </w:r>
    </w:p>
    <w:p w:rsidR="00A443EB" w:rsidRPr="00A443EB" w:rsidRDefault="00A443EB" w:rsidP="00360978">
      <w:pPr>
        <w:ind w:firstLine="567"/>
        <w:jc w:val="both"/>
        <w:rPr>
          <w:sz w:val="24"/>
          <w:szCs w:val="24"/>
        </w:rPr>
      </w:pPr>
      <w:r w:rsidRPr="00A443EB">
        <w:rPr>
          <w:sz w:val="24"/>
          <w:szCs w:val="24"/>
        </w:rPr>
        <w:t xml:space="preserve">Важным фактором успешного культивирования микрорастений ягодных культур является оптимизация минерального состава питательной среды и температурного </w:t>
      </w:r>
      <w:r w:rsidRPr="00A443EB">
        <w:rPr>
          <w:sz w:val="24"/>
          <w:szCs w:val="24"/>
        </w:rPr>
        <w:lastRenderedPageBreak/>
        <w:t>режима. В зависимости от видовой специфики растений применяются некоторые модификации используемых сред для более длительного сохранения растительного материала. В качестве фактора, замедляющего рост растений, может выступать пониженная температура в интервале от -1 ℃ до +10 ℃ и добавление в питательные среды органических веществ, обладающих</w:t>
      </w:r>
      <w:bookmarkStart w:id="0" w:name="_GoBack"/>
      <w:bookmarkEnd w:id="0"/>
      <w:r w:rsidRPr="00A443EB">
        <w:rPr>
          <w:sz w:val="24"/>
          <w:szCs w:val="24"/>
        </w:rPr>
        <w:t xml:space="preserve"> высокой осмотической активностью: сахарозу, глюкозу, маннита или сорбита </w:t>
      </w:r>
      <w:r w:rsidRPr="00A443EB">
        <w:rPr>
          <w:kern w:val="28"/>
          <w:sz w:val="24"/>
          <w:szCs w:val="24"/>
        </w:rPr>
        <w:t>[</w:t>
      </w:r>
      <w:r w:rsidR="00D9799D">
        <w:rPr>
          <w:rFonts w:eastAsia="Arial Unicode MS"/>
          <w:kern w:val="28"/>
          <w:sz w:val="24"/>
          <w:szCs w:val="24"/>
        </w:rPr>
        <w:t>4</w:t>
      </w:r>
      <w:r w:rsidR="00A91F48">
        <w:rPr>
          <w:rFonts w:eastAsia="Arial Unicode MS"/>
          <w:kern w:val="28"/>
          <w:sz w:val="24"/>
          <w:szCs w:val="24"/>
        </w:rPr>
        <w:t>, 5</w:t>
      </w:r>
      <w:r w:rsidRPr="00A443EB">
        <w:rPr>
          <w:kern w:val="28"/>
          <w:sz w:val="24"/>
          <w:szCs w:val="24"/>
        </w:rPr>
        <w:t>]</w:t>
      </w:r>
      <w:r w:rsidRPr="00A443EB">
        <w:rPr>
          <w:sz w:val="24"/>
          <w:szCs w:val="24"/>
        </w:rPr>
        <w:t>.</w:t>
      </w:r>
    </w:p>
    <w:p w:rsidR="00D9799D" w:rsidRPr="00360978" w:rsidRDefault="00D9799D" w:rsidP="00360978">
      <w:pPr>
        <w:ind w:firstLine="567"/>
        <w:jc w:val="both"/>
        <w:rPr>
          <w:kern w:val="28"/>
          <w:sz w:val="24"/>
          <w:szCs w:val="24"/>
        </w:rPr>
      </w:pPr>
      <w:r w:rsidRPr="00360978">
        <w:rPr>
          <w:sz w:val="24"/>
          <w:szCs w:val="24"/>
        </w:rPr>
        <w:t xml:space="preserve">Осмотические компоненты в искусственной питательной среде используются как для увеличения длительности хранения, так и для продления сроков жизнеспособности растений. </w:t>
      </w:r>
      <w:r w:rsidRPr="00360978">
        <w:rPr>
          <w:kern w:val="28"/>
          <w:sz w:val="24"/>
          <w:szCs w:val="24"/>
        </w:rPr>
        <w:t xml:space="preserve">Культивирование на модифицированной питательной среде с добавлением сорбита и сахарозы (3% и 5%) </w:t>
      </w:r>
      <w:r w:rsidRPr="00360978">
        <w:rPr>
          <w:sz w:val="24"/>
          <w:szCs w:val="24"/>
        </w:rPr>
        <w:t>при нормальной скорости роста</w:t>
      </w:r>
      <w:r w:rsidRPr="00360978">
        <w:rPr>
          <w:i/>
          <w:sz w:val="24"/>
          <w:szCs w:val="24"/>
        </w:rPr>
        <w:t xml:space="preserve"> </w:t>
      </w:r>
      <w:r w:rsidRPr="00360978">
        <w:rPr>
          <w:sz w:val="24"/>
          <w:szCs w:val="24"/>
        </w:rPr>
        <w:t>(</w:t>
      </w:r>
      <w:r w:rsidR="00A91F48">
        <w:rPr>
          <w:sz w:val="24"/>
          <w:szCs w:val="24"/>
        </w:rPr>
        <w:t>+24-</w:t>
      </w:r>
      <w:r w:rsidRPr="00360978">
        <w:rPr>
          <w:sz w:val="24"/>
          <w:szCs w:val="24"/>
        </w:rPr>
        <w:t>26</w:t>
      </w:r>
      <w:r w:rsidRPr="00360978">
        <w:rPr>
          <w:sz w:val="24"/>
          <w:szCs w:val="24"/>
          <w:vertAlign w:val="superscript"/>
        </w:rPr>
        <w:t>0</w:t>
      </w:r>
      <w:r w:rsidRPr="00360978">
        <w:rPr>
          <w:sz w:val="24"/>
          <w:szCs w:val="24"/>
        </w:rPr>
        <w:t>С) и</w:t>
      </w:r>
      <w:r w:rsidRPr="00360978">
        <w:rPr>
          <w:kern w:val="28"/>
          <w:sz w:val="24"/>
          <w:szCs w:val="24"/>
        </w:rPr>
        <w:t xml:space="preserve"> в условиях </w:t>
      </w:r>
      <w:r w:rsidRPr="00360978">
        <w:rPr>
          <w:sz w:val="24"/>
          <w:szCs w:val="24"/>
        </w:rPr>
        <w:t>пониженных положительных температур</w:t>
      </w:r>
      <w:r w:rsidRPr="00360978">
        <w:rPr>
          <w:kern w:val="28"/>
          <w:sz w:val="24"/>
          <w:szCs w:val="24"/>
        </w:rPr>
        <w:t xml:space="preserve"> (</w:t>
      </w:r>
      <w:r w:rsidR="00A91F48">
        <w:rPr>
          <w:kern w:val="28"/>
          <w:sz w:val="24"/>
          <w:szCs w:val="24"/>
        </w:rPr>
        <w:t>+3-</w:t>
      </w:r>
      <w:r w:rsidRPr="00360978">
        <w:rPr>
          <w:kern w:val="28"/>
          <w:sz w:val="24"/>
          <w:szCs w:val="24"/>
        </w:rPr>
        <w:t>6</w:t>
      </w:r>
      <w:r w:rsidRPr="00360978">
        <w:rPr>
          <w:kern w:val="28"/>
          <w:sz w:val="24"/>
          <w:szCs w:val="24"/>
          <w:vertAlign w:val="superscript"/>
        </w:rPr>
        <w:t>0</w:t>
      </w:r>
      <w:r w:rsidRPr="00360978">
        <w:rPr>
          <w:kern w:val="28"/>
          <w:sz w:val="24"/>
          <w:szCs w:val="24"/>
        </w:rPr>
        <w:t xml:space="preserve">С) позволили поддерживать сохранность микрорастений сортов рябины в течение 26 месяцев на уровне 21-75 % и 47-60 % соответственно </w:t>
      </w:r>
      <w:r w:rsidRPr="00360978">
        <w:rPr>
          <w:sz w:val="24"/>
          <w:szCs w:val="24"/>
        </w:rPr>
        <w:t>[</w:t>
      </w:r>
      <w:r w:rsidR="00A91F48">
        <w:rPr>
          <w:sz w:val="24"/>
          <w:szCs w:val="24"/>
        </w:rPr>
        <w:t>6</w:t>
      </w:r>
      <w:r w:rsidRPr="00360978">
        <w:rPr>
          <w:sz w:val="24"/>
          <w:szCs w:val="24"/>
        </w:rPr>
        <w:t>].</w:t>
      </w:r>
    </w:p>
    <w:p w:rsidR="00D9799D" w:rsidRPr="00360978" w:rsidRDefault="00D9799D" w:rsidP="00360978">
      <w:pPr>
        <w:suppressAutoHyphens/>
        <w:ind w:firstLine="567"/>
        <w:jc w:val="both"/>
        <w:rPr>
          <w:spacing w:val="-6"/>
          <w:kern w:val="28"/>
          <w:sz w:val="24"/>
          <w:szCs w:val="24"/>
        </w:rPr>
      </w:pPr>
      <w:r w:rsidRPr="00360978">
        <w:rPr>
          <w:spacing w:val="-6"/>
          <w:kern w:val="28"/>
          <w:sz w:val="24"/>
          <w:szCs w:val="24"/>
        </w:rPr>
        <w:t xml:space="preserve">Цель работы: изучить влияние осмотически активных веществ на жизнеспособность эксплантов ягодных культур при длительном хранении </w:t>
      </w:r>
      <w:r w:rsidRPr="00360978">
        <w:rPr>
          <w:i/>
          <w:spacing w:val="-6"/>
          <w:kern w:val="28"/>
          <w:sz w:val="24"/>
          <w:szCs w:val="24"/>
          <w:lang w:val="en-US"/>
        </w:rPr>
        <w:t>in</w:t>
      </w:r>
      <w:r w:rsidRPr="00360978">
        <w:rPr>
          <w:i/>
          <w:spacing w:val="-6"/>
          <w:kern w:val="28"/>
          <w:sz w:val="24"/>
          <w:szCs w:val="24"/>
        </w:rPr>
        <w:t xml:space="preserve"> </w:t>
      </w:r>
      <w:r w:rsidRPr="00360978">
        <w:rPr>
          <w:i/>
          <w:spacing w:val="-6"/>
          <w:kern w:val="28"/>
          <w:sz w:val="24"/>
          <w:szCs w:val="24"/>
          <w:lang w:val="en-US"/>
        </w:rPr>
        <w:t>vitro</w:t>
      </w:r>
      <w:r w:rsidRPr="00360978">
        <w:rPr>
          <w:spacing w:val="-6"/>
          <w:kern w:val="28"/>
          <w:sz w:val="24"/>
          <w:szCs w:val="24"/>
        </w:rPr>
        <w:t>.</w:t>
      </w:r>
    </w:p>
    <w:p w:rsidR="00D9799D" w:rsidRPr="0006126C" w:rsidRDefault="00D9799D" w:rsidP="00360978">
      <w:pPr>
        <w:ind w:firstLine="567"/>
        <w:jc w:val="both"/>
        <w:rPr>
          <w:sz w:val="24"/>
          <w:szCs w:val="24"/>
        </w:rPr>
      </w:pPr>
      <w:r w:rsidRPr="0006126C">
        <w:rPr>
          <w:b/>
          <w:i/>
          <w:sz w:val="24"/>
          <w:szCs w:val="24"/>
        </w:rPr>
        <w:t>Объекты и методы исследований</w:t>
      </w:r>
      <w:r w:rsidRPr="0006126C">
        <w:rPr>
          <w:b/>
          <w:sz w:val="24"/>
          <w:szCs w:val="24"/>
        </w:rPr>
        <w:t xml:space="preserve">. </w:t>
      </w:r>
      <w:r w:rsidRPr="0006126C">
        <w:rPr>
          <w:sz w:val="24"/>
          <w:szCs w:val="24"/>
        </w:rPr>
        <w:t xml:space="preserve">Исследования проводили на базе  лаборатории биотехнологии ФГБНУ ВСТИСП в 2018-2019 гг. В качестве объекта исследований использовали растения малины  </w:t>
      </w:r>
      <w:r w:rsidRPr="0006126C">
        <w:rPr>
          <w:i/>
          <w:sz w:val="24"/>
          <w:szCs w:val="24"/>
          <w:lang w:val="en-US"/>
        </w:rPr>
        <w:t>Rubus</w:t>
      </w:r>
      <w:r w:rsidRPr="0006126C">
        <w:rPr>
          <w:i/>
          <w:sz w:val="24"/>
          <w:szCs w:val="24"/>
        </w:rPr>
        <w:t xml:space="preserve"> </w:t>
      </w:r>
      <w:r w:rsidRPr="0006126C">
        <w:rPr>
          <w:i/>
          <w:sz w:val="24"/>
          <w:szCs w:val="24"/>
          <w:lang w:val="en-US"/>
        </w:rPr>
        <w:t>idaeus</w:t>
      </w:r>
      <w:r w:rsidRPr="0006126C">
        <w:rPr>
          <w:sz w:val="24"/>
          <w:szCs w:val="24"/>
        </w:rPr>
        <w:t xml:space="preserve"> </w:t>
      </w:r>
      <w:r w:rsidRPr="0006126C">
        <w:rPr>
          <w:sz w:val="24"/>
          <w:szCs w:val="24"/>
          <w:lang w:val="en-US"/>
        </w:rPr>
        <w:t>L</w:t>
      </w:r>
      <w:r w:rsidRPr="0006126C">
        <w:rPr>
          <w:sz w:val="24"/>
          <w:szCs w:val="24"/>
        </w:rPr>
        <w:t xml:space="preserve">. (сорт Брянское Диво) из генетической коллекции </w:t>
      </w:r>
      <w:r w:rsidRPr="0006126C">
        <w:rPr>
          <w:i/>
          <w:spacing w:val="-6"/>
          <w:kern w:val="28"/>
          <w:sz w:val="24"/>
          <w:szCs w:val="24"/>
          <w:lang w:val="en-US"/>
        </w:rPr>
        <w:t>in</w:t>
      </w:r>
      <w:r w:rsidRPr="0006126C">
        <w:rPr>
          <w:i/>
          <w:spacing w:val="-6"/>
          <w:kern w:val="28"/>
          <w:sz w:val="24"/>
          <w:szCs w:val="24"/>
        </w:rPr>
        <w:t xml:space="preserve"> </w:t>
      </w:r>
      <w:r w:rsidRPr="0006126C">
        <w:rPr>
          <w:i/>
          <w:spacing w:val="-6"/>
          <w:kern w:val="28"/>
          <w:sz w:val="24"/>
          <w:szCs w:val="24"/>
          <w:lang w:val="en-US"/>
        </w:rPr>
        <w:t>vitro</w:t>
      </w:r>
      <w:r w:rsidRPr="0006126C">
        <w:rPr>
          <w:i/>
          <w:spacing w:val="-6"/>
          <w:kern w:val="28"/>
          <w:sz w:val="24"/>
          <w:szCs w:val="24"/>
        </w:rPr>
        <w:t>.</w:t>
      </w:r>
    </w:p>
    <w:p w:rsidR="00A02F48" w:rsidRPr="0006126C" w:rsidRDefault="00A02F48" w:rsidP="00360978">
      <w:pPr>
        <w:pStyle w:val="a9"/>
        <w:tabs>
          <w:tab w:val="left" w:pos="851"/>
        </w:tabs>
        <w:ind w:firstLine="567"/>
        <w:jc w:val="both"/>
        <w:rPr>
          <w:sz w:val="24"/>
          <w:szCs w:val="24"/>
        </w:rPr>
      </w:pPr>
      <w:r w:rsidRPr="0006126C">
        <w:rPr>
          <w:kern w:val="28"/>
          <w:sz w:val="24"/>
          <w:szCs w:val="24"/>
        </w:rPr>
        <w:t>Растительный материал размножали по стандартной технологии на питательной среде на основе Мурасиге и Скуга (</w:t>
      </w:r>
      <w:r w:rsidRPr="0006126C">
        <w:rPr>
          <w:sz w:val="24"/>
          <w:szCs w:val="24"/>
          <w:lang w:val="en-US"/>
        </w:rPr>
        <w:t>M</w:t>
      </w:r>
      <w:r w:rsidRPr="0006126C">
        <w:rPr>
          <w:sz w:val="24"/>
          <w:szCs w:val="24"/>
        </w:rPr>
        <w:t>С), дополненную 0,7 мг/л 6-бензиламинопкрина (БАП), 0,1 мг/л индолил-3-масленной кислоты (ИМК), 30 г/л сахарозы и 8 г/л агар-агара (</w:t>
      </w:r>
      <w:r w:rsidRPr="0006126C">
        <w:rPr>
          <w:sz w:val="24"/>
          <w:szCs w:val="24"/>
          <w:lang w:val="en-US"/>
        </w:rPr>
        <w:t>Panreac</w:t>
      </w:r>
      <w:r w:rsidRPr="0006126C">
        <w:rPr>
          <w:sz w:val="24"/>
          <w:szCs w:val="24"/>
        </w:rPr>
        <w:t xml:space="preserve">, </w:t>
      </w:r>
      <w:r w:rsidRPr="0006126C">
        <w:rPr>
          <w:sz w:val="24"/>
          <w:szCs w:val="24"/>
          <w:lang w:val="en-US"/>
        </w:rPr>
        <w:t>Spain</w:t>
      </w:r>
      <w:r w:rsidRPr="0006126C">
        <w:rPr>
          <w:sz w:val="24"/>
          <w:szCs w:val="24"/>
        </w:rPr>
        <w:t>)</w:t>
      </w:r>
      <w:r w:rsidR="0006126C" w:rsidRPr="0006126C">
        <w:rPr>
          <w:sz w:val="24"/>
          <w:szCs w:val="24"/>
        </w:rPr>
        <w:t xml:space="preserve">, </w:t>
      </w:r>
      <w:r w:rsidRPr="0006126C">
        <w:rPr>
          <w:sz w:val="24"/>
          <w:szCs w:val="24"/>
        </w:rPr>
        <w:t>с целью получения нужного для эксперимента количества отдельных эксплантов (микропобегов) [</w:t>
      </w:r>
      <w:r w:rsidR="00A91F48">
        <w:rPr>
          <w:sz w:val="24"/>
          <w:szCs w:val="24"/>
        </w:rPr>
        <w:t>7</w:t>
      </w:r>
      <w:r w:rsidRPr="0006126C">
        <w:rPr>
          <w:sz w:val="24"/>
          <w:szCs w:val="24"/>
        </w:rPr>
        <w:t>].</w:t>
      </w:r>
    </w:p>
    <w:p w:rsidR="0006126C" w:rsidRPr="0006126C" w:rsidRDefault="0006126C" w:rsidP="00360978">
      <w:pPr>
        <w:ind w:firstLine="567"/>
        <w:jc w:val="both"/>
        <w:rPr>
          <w:color w:val="000000"/>
          <w:sz w:val="24"/>
          <w:szCs w:val="24"/>
        </w:rPr>
      </w:pPr>
      <w:r w:rsidRPr="0006126C">
        <w:rPr>
          <w:color w:val="000000"/>
          <w:sz w:val="24"/>
          <w:szCs w:val="24"/>
        </w:rPr>
        <w:t xml:space="preserve">Культивирование </w:t>
      </w:r>
      <w:r w:rsidRPr="0006126C">
        <w:rPr>
          <w:kern w:val="28"/>
          <w:sz w:val="24"/>
          <w:szCs w:val="24"/>
        </w:rPr>
        <w:t xml:space="preserve">осуществляли </w:t>
      </w:r>
      <w:r w:rsidRPr="0006126C">
        <w:rPr>
          <w:color w:val="000000"/>
          <w:sz w:val="24"/>
          <w:szCs w:val="24"/>
        </w:rPr>
        <w:t xml:space="preserve">в климатической камере КС-200 (Россия) </w:t>
      </w:r>
      <w:r w:rsidRPr="0006126C">
        <w:rPr>
          <w:sz w:val="24"/>
          <w:szCs w:val="24"/>
        </w:rPr>
        <w:t>при нормальной скорости роста (25±1</w:t>
      </w:r>
      <w:r w:rsidRPr="0006126C">
        <w:rPr>
          <w:sz w:val="24"/>
          <w:szCs w:val="24"/>
          <w:vertAlign w:val="superscript"/>
        </w:rPr>
        <w:t>0</w:t>
      </w:r>
      <w:r w:rsidRPr="0006126C">
        <w:rPr>
          <w:sz w:val="24"/>
          <w:szCs w:val="24"/>
        </w:rPr>
        <w:t xml:space="preserve">С, 16-часовом фотопериоде и освещенности 2500-3000 люкс) и в </w:t>
      </w:r>
      <w:r w:rsidRPr="0006126C">
        <w:rPr>
          <w:color w:val="231F20"/>
          <w:sz w:val="24"/>
          <w:szCs w:val="24"/>
        </w:rPr>
        <w:t xml:space="preserve">холодильной камере марки </w:t>
      </w:r>
      <w:r w:rsidRPr="0006126C">
        <w:rPr>
          <w:bCs/>
          <w:sz w:val="24"/>
          <w:szCs w:val="24"/>
          <w:shd w:val="clear" w:color="auto" w:fill="FFFFFF"/>
        </w:rPr>
        <w:t xml:space="preserve">Liebherr (Германия) в </w:t>
      </w:r>
      <w:r w:rsidRPr="0006126C">
        <w:rPr>
          <w:sz w:val="24"/>
          <w:szCs w:val="24"/>
        </w:rPr>
        <w:t xml:space="preserve">условиях положительных пониженных температур (4-6℃), </w:t>
      </w:r>
      <w:r w:rsidRPr="0006126C">
        <w:rPr>
          <w:color w:val="000000"/>
          <w:sz w:val="24"/>
          <w:szCs w:val="24"/>
          <w:shd w:val="clear" w:color="auto" w:fill="FFFFFF"/>
        </w:rPr>
        <w:t>при интенсивности освещения -500-1000 люкс и режиме короткого дня 8/16 ч).</w:t>
      </w:r>
      <w:r w:rsidRPr="0006126C">
        <w:rPr>
          <w:rFonts w:eastAsia="TimesNewRoman"/>
          <w:sz w:val="24"/>
          <w:szCs w:val="24"/>
        </w:rPr>
        <w:t xml:space="preserve"> В качестве культуральных сосудов использовали химические пробирки 1,5 × </w:t>
      </w:r>
      <w:smartTag w:uri="urn:schemas-microsoft-com:office:smarttags" w:element="metricconverter">
        <w:smartTagPr>
          <w:attr w:name="ProductID" w:val="16 см"/>
        </w:smartTagPr>
        <w:r w:rsidRPr="0006126C">
          <w:rPr>
            <w:rFonts w:eastAsia="TimesNewRoman"/>
            <w:sz w:val="24"/>
            <w:szCs w:val="24"/>
          </w:rPr>
          <w:t>16 см</w:t>
        </w:r>
      </w:smartTag>
      <w:r w:rsidRPr="0006126C">
        <w:rPr>
          <w:rFonts w:eastAsia="TimesNewRoman"/>
          <w:sz w:val="24"/>
          <w:szCs w:val="24"/>
        </w:rPr>
        <w:t xml:space="preserve">, </w:t>
      </w:r>
      <w:r w:rsidRPr="0006126C">
        <w:rPr>
          <w:rFonts w:eastAsia="TimesNewRomanPSMT"/>
          <w:sz w:val="24"/>
          <w:szCs w:val="24"/>
        </w:rPr>
        <w:t>предварительно стерилизованные сухим жаром (+ 150-</w:t>
      </w:r>
      <w:smartTag w:uri="urn:schemas-microsoft-com:office:smarttags" w:element="metricconverter">
        <w:smartTagPr>
          <w:attr w:name="ProductID" w:val="200ﾰC"/>
        </w:smartTagPr>
        <w:r w:rsidRPr="0006126C">
          <w:rPr>
            <w:rFonts w:eastAsia="TimesNewRomanPSMT"/>
            <w:sz w:val="24"/>
            <w:szCs w:val="24"/>
          </w:rPr>
          <w:t>200°</w:t>
        </w:r>
        <w:r w:rsidRPr="0006126C">
          <w:rPr>
            <w:rFonts w:eastAsia="TimesNewRomanPSMT"/>
            <w:sz w:val="24"/>
            <w:szCs w:val="24"/>
            <w:lang w:val="en-US"/>
          </w:rPr>
          <w:t>C</w:t>
        </w:r>
      </w:smartTag>
      <w:r w:rsidRPr="0006126C">
        <w:rPr>
          <w:rFonts w:eastAsia="TimesNewRomanPSMT"/>
          <w:sz w:val="24"/>
          <w:szCs w:val="24"/>
        </w:rPr>
        <w:t xml:space="preserve">) </w:t>
      </w:r>
      <w:r w:rsidRPr="0006126C">
        <w:rPr>
          <w:rFonts w:eastAsia="TimesNewRoman"/>
          <w:sz w:val="24"/>
          <w:szCs w:val="24"/>
        </w:rPr>
        <w:t xml:space="preserve">с 10 мл агаризованной среды. </w:t>
      </w:r>
    </w:p>
    <w:p w:rsidR="00D9799D" w:rsidRPr="0006126C" w:rsidRDefault="00D9799D" w:rsidP="00360978">
      <w:pPr>
        <w:ind w:firstLine="567"/>
        <w:jc w:val="both"/>
        <w:rPr>
          <w:sz w:val="24"/>
          <w:szCs w:val="24"/>
        </w:rPr>
      </w:pPr>
      <w:r w:rsidRPr="0006126C">
        <w:rPr>
          <w:kern w:val="28"/>
          <w:sz w:val="24"/>
          <w:szCs w:val="24"/>
        </w:rPr>
        <w:t>Микропобеги высаживались на питательную среду (</w:t>
      </w:r>
      <w:r w:rsidRPr="0006126C">
        <w:rPr>
          <w:rFonts w:eastAsia="TimesNewRomanPSMT"/>
          <w:sz w:val="24"/>
          <w:szCs w:val="24"/>
        </w:rPr>
        <w:t>в каждую пробирку по одному растению – 20 шт. на вариант)</w:t>
      </w:r>
      <w:r w:rsidRPr="0006126C">
        <w:rPr>
          <w:kern w:val="28"/>
          <w:sz w:val="24"/>
          <w:szCs w:val="24"/>
        </w:rPr>
        <w:t xml:space="preserve"> с добавлением</w:t>
      </w:r>
      <w:r w:rsidRPr="0006126C">
        <w:rPr>
          <w:rFonts w:eastAsia="TimesNewRoman"/>
          <w:sz w:val="24"/>
          <w:szCs w:val="24"/>
        </w:rPr>
        <w:t xml:space="preserve"> осмотически активных соединений</w:t>
      </w:r>
      <w:r w:rsidRPr="0006126C">
        <w:rPr>
          <w:kern w:val="28"/>
          <w:sz w:val="24"/>
          <w:szCs w:val="24"/>
        </w:rPr>
        <w:t xml:space="preserve"> (</w:t>
      </w:r>
      <w:r w:rsidRPr="0006126C">
        <w:rPr>
          <w:rFonts w:eastAsia="TimesNewRomanPSMT"/>
          <w:sz w:val="24"/>
          <w:szCs w:val="24"/>
        </w:rPr>
        <w:t>маннита и дульцита) в концентрации 0,</w:t>
      </w:r>
      <w:r w:rsidRPr="0006126C">
        <w:rPr>
          <w:kern w:val="28"/>
          <w:sz w:val="24"/>
          <w:szCs w:val="24"/>
        </w:rPr>
        <w:t xml:space="preserve">45 (1-й вариант), 0,75 (2-й вариант) и 1,05 % (3-й вариант), </w:t>
      </w:r>
      <w:r w:rsidRPr="0006126C">
        <w:rPr>
          <w:rFonts w:eastAsia="TimesNewRomanPSMT"/>
          <w:sz w:val="24"/>
          <w:szCs w:val="24"/>
        </w:rPr>
        <w:t>в качестве контроля служила среда с добавлением сахарозы 3,0 %. Учёт состояния образцов (количество живых и погибших растений, %) проводили один раз в месяц.</w:t>
      </w:r>
      <w:r w:rsidRPr="0006126C">
        <w:rPr>
          <w:sz w:val="24"/>
          <w:szCs w:val="24"/>
        </w:rPr>
        <w:t xml:space="preserve"> </w:t>
      </w:r>
    </w:p>
    <w:p w:rsidR="0006126C" w:rsidRPr="0006126C" w:rsidRDefault="0006126C" w:rsidP="00B432C0">
      <w:pPr>
        <w:ind w:firstLine="567"/>
        <w:jc w:val="both"/>
        <w:rPr>
          <w:sz w:val="24"/>
          <w:szCs w:val="24"/>
        </w:rPr>
      </w:pPr>
      <w:r w:rsidRPr="0006126C">
        <w:rPr>
          <w:sz w:val="24"/>
          <w:szCs w:val="24"/>
        </w:rPr>
        <w:t>Экспланты находились в стандартных условиях культивирования (климатической камере) в течение двух недель культивирования, затем микрочеренки переносили на среднесрочное хранение в холодильную камеру.</w:t>
      </w:r>
    </w:p>
    <w:p w:rsidR="00D9799D" w:rsidRDefault="00D9799D" w:rsidP="00B432C0">
      <w:pPr>
        <w:ind w:firstLine="708"/>
        <w:jc w:val="both"/>
        <w:rPr>
          <w:sz w:val="24"/>
          <w:szCs w:val="24"/>
        </w:rPr>
      </w:pPr>
      <w:r w:rsidRPr="00CD78C9">
        <w:rPr>
          <w:b/>
          <w:i/>
          <w:sz w:val="24"/>
          <w:szCs w:val="24"/>
        </w:rPr>
        <w:t>Обсуждение результатов.</w:t>
      </w:r>
      <w:r w:rsidRPr="00CD78C9">
        <w:rPr>
          <w:sz w:val="24"/>
          <w:szCs w:val="24"/>
        </w:rPr>
        <w:t xml:space="preserve"> Изучение влияния сахаров и </w:t>
      </w:r>
      <w:r w:rsidRPr="00CD78C9">
        <w:rPr>
          <w:spacing w:val="-4"/>
          <w:kern w:val="28"/>
          <w:sz w:val="24"/>
          <w:szCs w:val="24"/>
        </w:rPr>
        <w:t>осмотически активных веществ</w:t>
      </w:r>
      <w:r w:rsidRPr="00CD78C9">
        <w:rPr>
          <w:sz w:val="24"/>
          <w:szCs w:val="24"/>
        </w:rPr>
        <w:t xml:space="preserve"> в зависимости от температурного режима в процессе хранения эксплантов малины сорта Брянское Диво показало, что использование маннита в концентрации (0,75%)</w:t>
      </w:r>
      <w:r w:rsidR="00F0782A">
        <w:rPr>
          <w:sz w:val="24"/>
          <w:szCs w:val="24"/>
        </w:rPr>
        <w:t xml:space="preserve"> при</w:t>
      </w:r>
      <w:r w:rsidRPr="00CD78C9">
        <w:rPr>
          <w:sz w:val="24"/>
          <w:szCs w:val="24"/>
        </w:rPr>
        <w:t xml:space="preserve"> температуре </w:t>
      </w:r>
      <w:r w:rsidR="00F0782A" w:rsidRPr="0006126C">
        <w:rPr>
          <w:sz w:val="24"/>
          <w:szCs w:val="24"/>
        </w:rPr>
        <w:t>25±1</w:t>
      </w:r>
      <w:r w:rsidR="00F0782A" w:rsidRPr="0006126C">
        <w:rPr>
          <w:sz w:val="24"/>
          <w:szCs w:val="24"/>
          <w:vertAlign w:val="superscript"/>
        </w:rPr>
        <w:t>0</w:t>
      </w:r>
      <w:r w:rsidR="00F0782A" w:rsidRPr="0006126C">
        <w:rPr>
          <w:sz w:val="24"/>
          <w:szCs w:val="24"/>
        </w:rPr>
        <w:t>С</w:t>
      </w:r>
      <w:r w:rsidR="00F0782A" w:rsidRPr="00CD78C9">
        <w:rPr>
          <w:sz w:val="24"/>
          <w:szCs w:val="24"/>
        </w:rPr>
        <w:t xml:space="preserve"> </w:t>
      </w:r>
      <w:r w:rsidRPr="00CD78C9">
        <w:rPr>
          <w:sz w:val="24"/>
          <w:szCs w:val="24"/>
        </w:rPr>
        <w:t>позволило сохранить жизнеспособность микрорастений на уровне 25</w:t>
      </w:r>
      <w:r w:rsidR="00F0782A">
        <w:rPr>
          <w:sz w:val="24"/>
          <w:szCs w:val="24"/>
        </w:rPr>
        <w:t xml:space="preserve"> </w:t>
      </w:r>
      <w:r w:rsidRPr="00CD78C9">
        <w:rPr>
          <w:sz w:val="24"/>
          <w:szCs w:val="24"/>
        </w:rPr>
        <w:t xml:space="preserve">% в течение 9 месяцев. Микрорастения малины, культивируемые на среде с дульцитом, к 9-му месяцу хранения все погибли (рис. </w:t>
      </w:r>
      <w:r w:rsidR="00F0782A">
        <w:rPr>
          <w:sz w:val="24"/>
          <w:szCs w:val="24"/>
        </w:rPr>
        <w:t>1</w:t>
      </w:r>
      <w:r w:rsidRPr="00CD78C9">
        <w:rPr>
          <w:sz w:val="24"/>
          <w:szCs w:val="24"/>
        </w:rPr>
        <w:t>). Наибольшая сохранность микрорастений малины в данных условиях отмечена на</w:t>
      </w:r>
      <w:r w:rsidR="000A66B0">
        <w:rPr>
          <w:sz w:val="24"/>
          <w:szCs w:val="24"/>
        </w:rPr>
        <w:t xml:space="preserve"> питательной среде с сахарозой </w:t>
      </w:r>
      <w:r w:rsidRPr="00CD78C9">
        <w:rPr>
          <w:sz w:val="24"/>
          <w:szCs w:val="24"/>
        </w:rPr>
        <w:t>до 4</w:t>
      </w:r>
      <w:r w:rsidR="000A66B0">
        <w:rPr>
          <w:sz w:val="24"/>
          <w:szCs w:val="24"/>
        </w:rPr>
        <w:t>5</w:t>
      </w:r>
      <w:r w:rsidR="00F0782A">
        <w:rPr>
          <w:sz w:val="24"/>
          <w:szCs w:val="24"/>
        </w:rPr>
        <w:t xml:space="preserve"> </w:t>
      </w:r>
      <w:r w:rsidRPr="00CD78C9">
        <w:rPr>
          <w:sz w:val="24"/>
          <w:szCs w:val="24"/>
        </w:rPr>
        <w:t xml:space="preserve">% </w:t>
      </w:r>
      <w:r w:rsidR="0033446D">
        <w:rPr>
          <w:sz w:val="24"/>
          <w:szCs w:val="24"/>
        </w:rPr>
        <w:t xml:space="preserve">(на протяжении </w:t>
      </w:r>
      <w:r w:rsidR="000A66B0">
        <w:rPr>
          <w:sz w:val="24"/>
          <w:szCs w:val="24"/>
        </w:rPr>
        <w:t>9 месяц</w:t>
      </w:r>
      <w:r w:rsidR="0033446D">
        <w:rPr>
          <w:sz w:val="24"/>
          <w:szCs w:val="24"/>
        </w:rPr>
        <w:t>ев)</w:t>
      </w:r>
      <w:r w:rsidR="000A66B0">
        <w:rPr>
          <w:sz w:val="24"/>
          <w:szCs w:val="24"/>
        </w:rPr>
        <w:t xml:space="preserve"> и 25 </w:t>
      </w:r>
      <w:r w:rsidR="000A66B0" w:rsidRPr="00CD78C9">
        <w:rPr>
          <w:sz w:val="24"/>
          <w:szCs w:val="24"/>
        </w:rPr>
        <w:t>%</w:t>
      </w:r>
      <w:r w:rsidR="0033446D">
        <w:rPr>
          <w:sz w:val="24"/>
          <w:szCs w:val="24"/>
        </w:rPr>
        <w:t xml:space="preserve"> (12 месяцев)</w:t>
      </w:r>
      <w:r w:rsidRPr="00CD78C9">
        <w:rPr>
          <w:sz w:val="24"/>
          <w:szCs w:val="24"/>
        </w:rPr>
        <w:t>.</w:t>
      </w:r>
    </w:p>
    <w:p w:rsidR="00F0782A" w:rsidRDefault="00F0782A" w:rsidP="00B432C0">
      <w:pPr>
        <w:ind w:firstLine="708"/>
        <w:jc w:val="both"/>
        <w:rPr>
          <w:sz w:val="24"/>
          <w:szCs w:val="24"/>
        </w:rPr>
      </w:pPr>
    </w:p>
    <w:p w:rsidR="00025FAA" w:rsidRDefault="009F00C7" w:rsidP="009F00C7">
      <w:pPr>
        <w:ind w:firstLine="708"/>
        <w:jc w:val="center"/>
        <w:rPr>
          <w:sz w:val="24"/>
          <w:szCs w:val="24"/>
        </w:rPr>
      </w:pPr>
      <w:r w:rsidRPr="009F00C7">
        <w:rPr>
          <w:sz w:val="24"/>
          <w:szCs w:val="24"/>
        </w:rPr>
        <w:lastRenderedPageBreak/>
        <w:drawing>
          <wp:inline distT="0" distB="0" distL="0" distR="0">
            <wp:extent cx="5336721" cy="3511603"/>
            <wp:effectExtent l="1905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73EC" w:rsidRDefault="000273EC" w:rsidP="00025FAA">
      <w:pPr>
        <w:jc w:val="center"/>
        <w:rPr>
          <w:sz w:val="24"/>
          <w:szCs w:val="24"/>
        </w:rPr>
      </w:pPr>
    </w:p>
    <w:p w:rsidR="00D9799D" w:rsidRPr="003855CD" w:rsidRDefault="003855CD" w:rsidP="00025FAA">
      <w:pPr>
        <w:jc w:val="center"/>
        <w:rPr>
          <w:b/>
          <w:i/>
          <w:sz w:val="24"/>
          <w:szCs w:val="24"/>
        </w:rPr>
      </w:pPr>
      <w:r w:rsidRPr="003855CD">
        <w:rPr>
          <w:sz w:val="24"/>
          <w:szCs w:val="24"/>
        </w:rPr>
        <w:t xml:space="preserve">Рисунок 1 – Влияние </w:t>
      </w:r>
      <w:r w:rsidRPr="003855CD">
        <w:rPr>
          <w:spacing w:val="-4"/>
          <w:kern w:val="28"/>
          <w:sz w:val="24"/>
          <w:szCs w:val="24"/>
        </w:rPr>
        <w:t>осмотически активных веществ</w:t>
      </w:r>
      <w:r w:rsidRPr="003855CD">
        <w:rPr>
          <w:sz w:val="24"/>
          <w:szCs w:val="24"/>
        </w:rPr>
        <w:t xml:space="preserve"> на сохранение микрорастений малины сорта Брянское Диво при </w:t>
      </w:r>
      <w:r w:rsidRPr="003855CD">
        <w:rPr>
          <w:kern w:val="28"/>
          <w:sz w:val="24"/>
          <w:szCs w:val="24"/>
        </w:rPr>
        <w:t xml:space="preserve">температуре </w:t>
      </w:r>
      <w:r w:rsidRPr="003855CD">
        <w:rPr>
          <w:sz w:val="24"/>
          <w:szCs w:val="24"/>
        </w:rPr>
        <w:t>25±1</w:t>
      </w:r>
      <w:r w:rsidRPr="003855CD">
        <w:rPr>
          <w:sz w:val="24"/>
          <w:szCs w:val="24"/>
          <w:vertAlign w:val="superscript"/>
        </w:rPr>
        <w:t>0</w:t>
      </w:r>
      <w:r w:rsidRPr="003855CD">
        <w:rPr>
          <w:sz w:val="24"/>
          <w:szCs w:val="24"/>
        </w:rPr>
        <w:t>С.</w:t>
      </w:r>
    </w:p>
    <w:p w:rsidR="00025FAA" w:rsidRDefault="00025FAA" w:rsidP="00025FAA">
      <w:pPr>
        <w:ind w:firstLine="708"/>
        <w:jc w:val="both"/>
        <w:rPr>
          <w:sz w:val="24"/>
          <w:szCs w:val="24"/>
        </w:rPr>
      </w:pPr>
    </w:p>
    <w:p w:rsidR="00025FAA" w:rsidRPr="00025FAA" w:rsidRDefault="00025FAA" w:rsidP="00025FAA">
      <w:pPr>
        <w:ind w:firstLine="708"/>
        <w:jc w:val="both"/>
        <w:rPr>
          <w:sz w:val="24"/>
          <w:szCs w:val="24"/>
        </w:rPr>
      </w:pPr>
      <w:r w:rsidRPr="00025FAA">
        <w:rPr>
          <w:sz w:val="24"/>
          <w:szCs w:val="24"/>
        </w:rPr>
        <w:t>У микрорастений малины, хранящихся при низко</w:t>
      </w:r>
      <w:r w:rsidR="009F00C7">
        <w:rPr>
          <w:sz w:val="24"/>
          <w:szCs w:val="24"/>
        </w:rPr>
        <w:t>й положительной температуре (+4-</w:t>
      </w:r>
      <w:r w:rsidRPr="00025FAA">
        <w:rPr>
          <w:sz w:val="24"/>
          <w:szCs w:val="24"/>
        </w:rPr>
        <w:t>6</w:t>
      </w:r>
      <w:r w:rsidRPr="00025FAA">
        <w:rPr>
          <w:sz w:val="24"/>
          <w:szCs w:val="24"/>
          <w:vertAlign w:val="superscript"/>
        </w:rPr>
        <w:t>0</w:t>
      </w:r>
      <w:r w:rsidRPr="00025FAA">
        <w:rPr>
          <w:sz w:val="24"/>
          <w:szCs w:val="24"/>
        </w:rPr>
        <w:t xml:space="preserve">С) в течении 12 месяцев на среде с маннитом, доля живых растений составила 5%; на среде с дульцитом отмечалась полная гибель эксплантов. В отличие от опытных контрольные растения (на среде с сахарозой) сохраняли жизнеспособность на уровне 30% (рис. </w:t>
      </w:r>
      <w:r>
        <w:rPr>
          <w:sz w:val="24"/>
          <w:szCs w:val="24"/>
        </w:rPr>
        <w:t>2</w:t>
      </w:r>
      <w:r w:rsidRPr="00025FAA">
        <w:rPr>
          <w:sz w:val="24"/>
          <w:szCs w:val="24"/>
        </w:rPr>
        <w:t>).</w:t>
      </w:r>
    </w:p>
    <w:p w:rsidR="002444C1" w:rsidRDefault="002444C1" w:rsidP="00D9799D">
      <w:pPr>
        <w:tabs>
          <w:tab w:val="left" w:pos="142"/>
          <w:tab w:val="num" w:pos="709"/>
        </w:tabs>
        <w:jc w:val="both"/>
        <w:rPr>
          <w:b/>
          <w:i/>
          <w:szCs w:val="28"/>
        </w:rPr>
      </w:pPr>
    </w:p>
    <w:p w:rsidR="002444C1" w:rsidRDefault="00140DFE" w:rsidP="00140DFE">
      <w:pPr>
        <w:tabs>
          <w:tab w:val="left" w:pos="142"/>
          <w:tab w:val="num" w:pos="709"/>
        </w:tabs>
        <w:jc w:val="center"/>
        <w:rPr>
          <w:b/>
          <w:i/>
          <w:szCs w:val="28"/>
        </w:rPr>
      </w:pPr>
      <w:r w:rsidRPr="00140DFE">
        <w:rPr>
          <w:szCs w:val="28"/>
        </w:rPr>
        <w:drawing>
          <wp:inline distT="0" distB="0" distL="0" distR="0">
            <wp:extent cx="5851552" cy="3450131"/>
            <wp:effectExtent l="1905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0DFE" w:rsidRPr="003855CD" w:rsidRDefault="00140DFE" w:rsidP="00140DFE">
      <w:pPr>
        <w:jc w:val="center"/>
        <w:rPr>
          <w:b/>
          <w:i/>
          <w:sz w:val="24"/>
          <w:szCs w:val="24"/>
        </w:rPr>
      </w:pPr>
      <w:r w:rsidRPr="003855CD">
        <w:rPr>
          <w:sz w:val="24"/>
          <w:szCs w:val="24"/>
        </w:rPr>
        <w:lastRenderedPageBreak/>
        <w:t xml:space="preserve">Рисунок </w:t>
      </w:r>
      <w:r>
        <w:rPr>
          <w:sz w:val="24"/>
          <w:szCs w:val="24"/>
        </w:rPr>
        <w:t>2</w:t>
      </w:r>
      <w:r w:rsidRPr="003855CD">
        <w:rPr>
          <w:sz w:val="24"/>
          <w:szCs w:val="24"/>
        </w:rPr>
        <w:t xml:space="preserve"> – Влияние </w:t>
      </w:r>
      <w:r w:rsidRPr="003855CD">
        <w:rPr>
          <w:spacing w:val="-4"/>
          <w:kern w:val="28"/>
          <w:sz w:val="24"/>
          <w:szCs w:val="24"/>
        </w:rPr>
        <w:t>осмотически активных веществ</w:t>
      </w:r>
      <w:r w:rsidRPr="003855CD">
        <w:rPr>
          <w:sz w:val="24"/>
          <w:szCs w:val="24"/>
        </w:rPr>
        <w:t xml:space="preserve"> на сохранение микрорастений малины сорта Брянское Диво при </w:t>
      </w:r>
      <w:r w:rsidRPr="003855CD">
        <w:rPr>
          <w:kern w:val="28"/>
          <w:sz w:val="24"/>
          <w:szCs w:val="24"/>
        </w:rPr>
        <w:t xml:space="preserve">температуре </w:t>
      </w:r>
      <w:r w:rsidRPr="007B1383">
        <w:rPr>
          <w:sz w:val="24"/>
          <w:szCs w:val="24"/>
        </w:rPr>
        <w:t>+4-6</w:t>
      </w:r>
      <w:r w:rsidRPr="007B1383">
        <w:rPr>
          <w:sz w:val="24"/>
          <w:szCs w:val="24"/>
          <w:vertAlign w:val="superscript"/>
        </w:rPr>
        <w:t>0</w:t>
      </w:r>
      <w:r w:rsidRPr="007B1383">
        <w:rPr>
          <w:sz w:val="24"/>
          <w:szCs w:val="24"/>
        </w:rPr>
        <w:t>С.</w:t>
      </w:r>
    </w:p>
    <w:p w:rsidR="000273EC" w:rsidRDefault="000273EC" w:rsidP="005728D7">
      <w:pPr>
        <w:ind w:firstLine="708"/>
        <w:jc w:val="both"/>
        <w:rPr>
          <w:sz w:val="24"/>
          <w:szCs w:val="24"/>
        </w:rPr>
      </w:pPr>
    </w:p>
    <w:p w:rsidR="005728D7" w:rsidRPr="005728D7" w:rsidRDefault="005728D7" w:rsidP="004F068C">
      <w:pPr>
        <w:ind w:firstLine="567"/>
        <w:jc w:val="both"/>
        <w:rPr>
          <w:sz w:val="24"/>
          <w:szCs w:val="24"/>
        </w:rPr>
      </w:pPr>
      <w:r w:rsidRPr="005728D7">
        <w:rPr>
          <w:sz w:val="24"/>
          <w:szCs w:val="24"/>
        </w:rPr>
        <w:t xml:space="preserve">Анализ результатов опытов показал, что добавление в питательную среду осмотически активных веществ сохраняет жизнеспособность эксплантов малины на протяжении 9 месяцев (на среде с добавлением маннита) и 6 месяцев (на среде с добавлением дульцита) при температуре </w:t>
      </w:r>
      <w:r w:rsidRPr="003855CD">
        <w:rPr>
          <w:sz w:val="24"/>
          <w:szCs w:val="24"/>
        </w:rPr>
        <w:t>25±1</w:t>
      </w:r>
      <w:r w:rsidRPr="003855CD">
        <w:rPr>
          <w:sz w:val="24"/>
          <w:szCs w:val="24"/>
          <w:vertAlign w:val="superscript"/>
        </w:rPr>
        <w:t>0</w:t>
      </w:r>
      <w:r w:rsidRPr="003855CD">
        <w:rPr>
          <w:sz w:val="24"/>
          <w:szCs w:val="24"/>
        </w:rPr>
        <w:t>С</w:t>
      </w:r>
      <w:r w:rsidRPr="005728D7">
        <w:rPr>
          <w:sz w:val="24"/>
          <w:szCs w:val="24"/>
        </w:rPr>
        <w:t xml:space="preserve">. В условиях низких положительных температур срок хранения опытных экземпляров на модифицированной среде увеличивался на 3 месяца. Однако доля живых растений была низкой – 5%. Оптимальным компонентом питательной среды для хранения микрорастений малины в разных температурных режимах оказалась сахароза.  </w:t>
      </w:r>
    </w:p>
    <w:p w:rsidR="002444C1" w:rsidRDefault="002444C1" w:rsidP="00D9799D">
      <w:pPr>
        <w:tabs>
          <w:tab w:val="left" w:pos="142"/>
          <w:tab w:val="num" w:pos="709"/>
        </w:tabs>
        <w:jc w:val="both"/>
        <w:rPr>
          <w:b/>
          <w:i/>
          <w:szCs w:val="28"/>
        </w:rPr>
      </w:pPr>
    </w:p>
    <w:p w:rsidR="000273EC" w:rsidRPr="00BC233A" w:rsidRDefault="00D9799D" w:rsidP="004F068C">
      <w:pPr>
        <w:pStyle w:val="af"/>
        <w:tabs>
          <w:tab w:val="right" w:leader="underscore" w:pos="4395"/>
        </w:tabs>
        <w:suppressAutoHyphens/>
        <w:spacing w:after="0" w:line="240" w:lineRule="auto"/>
        <w:ind w:firstLine="567"/>
        <w:jc w:val="both"/>
        <w:rPr>
          <w:rFonts w:ascii="Times New Roman" w:hAnsi="Times New Roman"/>
          <w:kern w:val="28"/>
          <w:sz w:val="28"/>
          <w:szCs w:val="28"/>
        </w:rPr>
      </w:pPr>
      <w:r w:rsidRPr="004F068C">
        <w:rPr>
          <w:rFonts w:ascii="Times New Roman" w:hAnsi="Times New Roman"/>
          <w:b/>
          <w:i/>
          <w:sz w:val="24"/>
          <w:szCs w:val="24"/>
        </w:rPr>
        <w:t>Выводы.</w:t>
      </w:r>
      <w:r w:rsidR="00C47E29">
        <w:rPr>
          <w:b/>
          <w:i/>
          <w:sz w:val="24"/>
          <w:szCs w:val="24"/>
        </w:rPr>
        <w:t xml:space="preserve"> </w:t>
      </w:r>
      <w:r w:rsidR="00C47E29" w:rsidRPr="000273EC">
        <w:rPr>
          <w:rFonts w:ascii="Times New Roman" w:hAnsi="Times New Roman"/>
          <w:sz w:val="24"/>
          <w:szCs w:val="24"/>
        </w:rPr>
        <w:t>Изучение действия температурного режима и минерального состава питательной среды на сохранение эксплантов малины (сорта Брянское Диво) позволило определить оптимальные условия культивирования на среде с добавлением маннита в концентрациях – 0,75%; 1,05% и температуры 25±1</w:t>
      </w:r>
      <w:r w:rsidR="00C47E29" w:rsidRPr="000273EC">
        <w:rPr>
          <w:rFonts w:ascii="Times New Roman" w:hAnsi="Times New Roman"/>
          <w:sz w:val="24"/>
          <w:szCs w:val="24"/>
          <w:vertAlign w:val="superscript"/>
        </w:rPr>
        <w:t>0</w:t>
      </w:r>
      <w:r w:rsidR="00C47E29" w:rsidRPr="000273EC">
        <w:rPr>
          <w:rFonts w:ascii="Times New Roman" w:hAnsi="Times New Roman"/>
          <w:sz w:val="24"/>
          <w:szCs w:val="24"/>
        </w:rPr>
        <w:t>С. Совместное использование маннита в указанных концентрациях и температуры позволило увеличить сроки беспересадочного культивирования до 6 месяцев и сохранить жизнеспособность растений на уровне 45 %. При депонировании в условиях низких положительных температур (+4-6</w:t>
      </w:r>
      <w:r w:rsidR="00C47E29" w:rsidRPr="000273EC">
        <w:rPr>
          <w:rFonts w:ascii="Times New Roman" w:hAnsi="Times New Roman"/>
          <w:sz w:val="24"/>
          <w:szCs w:val="24"/>
          <w:vertAlign w:val="superscript"/>
        </w:rPr>
        <w:t>0</w:t>
      </w:r>
      <w:r w:rsidR="00C47E29" w:rsidRPr="000273EC">
        <w:rPr>
          <w:rFonts w:ascii="Times New Roman" w:hAnsi="Times New Roman"/>
          <w:sz w:val="24"/>
          <w:szCs w:val="24"/>
        </w:rPr>
        <w:t>С) оптимальным источником органического питания оказалась сахароза. Жизнеспособность контрольных образцов была выше (30 %), чем опытных (5 %) на протяжении 12 месяцев среднесрочного хранения.</w:t>
      </w:r>
      <w:r w:rsidR="000273EC" w:rsidRPr="000273EC">
        <w:rPr>
          <w:rFonts w:ascii="Times New Roman" w:hAnsi="Times New Roman"/>
          <w:szCs w:val="28"/>
        </w:rPr>
        <w:t xml:space="preserve"> </w:t>
      </w:r>
      <w:r w:rsidR="000273EC" w:rsidRPr="00EF50B7">
        <w:rPr>
          <w:rFonts w:ascii="Times New Roman" w:hAnsi="Times New Roman"/>
          <w:sz w:val="24"/>
          <w:szCs w:val="24"/>
        </w:rPr>
        <w:t>Применение разработанных элементов технологии оптимизации содержания микрорастений дает возможность более успешно решать проблему поддержания и сохранения в живом виде образцов вегетативно размноженных растений в контролируемых условиях</w:t>
      </w:r>
      <w:r w:rsidR="004F068C">
        <w:rPr>
          <w:rFonts w:ascii="Times New Roman" w:hAnsi="Times New Roman"/>
          <w:sz w:val="24"/>
          <w:szCs w:val="24"/>
        </w:rPr>
        <w:t xml:space="preserve"> среды</w:t>
      </w:r>
      <w:r w:rsidR="000273EC" w:rsidRPr="00EF50B7">
        <w:rPr>
          <w:rFonts w:ascii="Times New Roman" w:hAnsi="Times New Roman"/>
          <w:sz w:val="24"/>
          <w:szCs w:val="24"/>
        </w:rPr>
        <w:t>.</w:t>
      </w:r>
    </w:p>
    <w:p w:rsidR="00C47E29" w:rsidRPr="00702641" w:rsidRDefault="00C47E29" w:rsidP="00C47E29">
      <w:pPr>
        <w:tabs>
          <w:tab w:val="left" w:pos="142"/>
          <w:tab w:val="num" w:pos="709"/>
        </w:tabs>
        <w:jc w:val="both"/>
        <w:rPr>
          <w:b/>
          <w:i/>
          <w:sz w:val="24"/>
          <w:szCs w:val="24"/>
        </w:rPr>
      </w:pPr>
    </w:p>
    <w:p w:rsidR="00D9799D" w:rsidRDefault="00D9799D" w:rsidP="00D9799D"/>
    <w:p w:rsidR="00D9799D" w:rsidRPr="000273EC" w:rsidRDefault="00D9799D" w:rsidP="00D9799D">
      <w:pPr>
        <w:jc w:val="center"/>
        <w:rPr>
          <w:b/>
          <w:i/>
          <w:sz w:val="24"/>
          <w:szCs w:val="24"/>
        </w:rPr>
      </w:pPr>
      <w:r w:rsidRPr="000273EC">
        <w:rPr>
          <w:b/>
          <w:i/>
          <w:sz w:val="24"/>
          <w:szCs w:val="24"/>
        </w:rPr>
        <w:t>Литература</w:t>
      </w:r>
    </w:p>
    <w:p w:rsidR="00D9799D" w:rsidRPr="000273EC" w:rsidRDefault="00D9799D" w:rsidP="00D9799D">
      <w:pPr>
        <w:jc w:val="center"/>
        <w:rPr>
          <w:b/>
          <w:i/>
          <w:sz w:val="24"/>
          <w:szCs w:val="24"/>
        </w:rPr>
      </w:pPr>
    </w:p>
    <w:p w:rsidR="00D9799D" w:rsidRPr="000273EC" w:rsidRDefault="00D9799D" w:rsidP="00EA4260">
      <w:pPr>
        <w:pStyle w:val="a6"/>
        <w:numPr>
          <w:ilvl w:val="0"/>
          <w:numId w:val="1"/>
        </w:numPr>
        <w:tabs>
          <w:tab w:val="left" w:pos="284"/>
        </w:tabs>
        <w:ind w:left="0" w:firstLine="567"/>
        <w:jc w:val="both"/>
        <w:rPr>
          <w:sz w:val="24"/>
          <w:szCs w:val="24"/>
        </w:rPr>
      </w:pPr>
      <w:r w:rsidRPr="000273EC">
        <w:rPr>
          <w:sz w:val="24"/>
          <w:szCs w:val="24"/>
        </w:rPr>
        <w:t xml:space="preserve">Сорокопудов В.Н., Сорокопудова О.Н., Князева И.В., Бурменко Ю.В. Биотехнологические приемы поддержания коллекции рода </w:t>
      </w:r>
      <w:r w:rsidRPr="000273EC">
        <w:rPr>
          <w:i/>
          <w:sz w:val="24"/>
          <w:szCs w:val="24"/>
          <w:lang w:val="en-US"/>
        </w:rPr>
        <w:t>Ribes</w:t>
      </w:r>
      <w:r w:rsidRPr="000273EC">
        <w:rPr>
          <w:sz w:val="24"/>
          <w:szCs w:val="24"/>
        </w:rPr>
        <w:t xml:space="preserve"> </w:t>
      </w:r>
      <w:r w:rsidRPr="000273EC">
        <w:rPr>
          <w:sz w:val="24"/>
          <w:szCs w:val="24"/>
          <w:lang w:val="en-US"/>
        </w:rPr>
        <w:t>L</w:t>
      </w:r>
      <w:r w:rsidRPr="000273EC">
        <w:rPr>
          <w:sz w:val="24"/>
          <w:szCs w:val="24"/>
        </w:rPr>
        <w:t xml:space="preserve">. // </w:t>
      </w:r>
      <w:hyperlink r:id="rId10" w:history="1">
        <w:r w:rsidRPr="000273EC">
          <w:rPr>
            <w:sz w:val="24"/>
            <w:szCs w:val="24"/>
          </w:rPr>
          <w:t>Биотехнология как инструмент сохранения биоразнообразия растительного мира (физиолого-биохимические, эмбриологические, генетические и правовые аспекты)</w:t>
        </w:r>
      </w:hyperlink>
      <w:r w:rsidRPr="000273EC">
        <w:rPr>
          <w:sz w:val="24"/>
          <w:szCs w:val="24"/>
        </w:rPr>
        <w:t>. Материалы VIII Международной научно-практической конференции. - 2018. - С. 198.</w:t>
      </w:r>
    </w:p>
    <w:p w:rsidR="00D9799D" w:rsidRPr="000273EC" w:rsidRDefault="00D9799D" w:rsidP="00EA4260">
      <w:pPr>
        <w:pStyle w:val="a6"/>
        <w:numPr>
          <w:ilvl w:val="0"/>
          <w:numId w:val="1"/>
        </w:numPr>
        <w:tabs>
          <w:tab w:val="left" w:pos="284"/>
        </w:tabs>
        <w:ind w:left="0" w:firstLine="567"/>
        <w:jc w:val="both"/>
        <w:rPr>
          <w:sz w:val="24"/>
          <w:szCs w:val="24"/>
        </w:rPr>
      </w:pPr>
      <w:r w:rsidRPr="000273EC">
        <w:rPr>
          <w:sz w:val="24"/>
          <w:szCs w:val="24"/>
        </w:rPr>
        <w:t xml:space="preserve">Борисова А.А., Куликов И.М., Тумаева Т.А., Князева И.В. Создание современных генбанков-фундаментальная задача для решения проблем импортозамещения. // </w:t>
      </w:r>
      <w:hyperlink r:id="rId11" w:history="1">
        <w:r w:rsidRPr="000273EC">
          <w:rPr>
            <w:sz w:val="24"/>
            <w:szCs w:val="24"/>
          </w:rPr>
          <w:t>Биотехнология как инструмент сохранения биоразнообразия растительного мира (физиолого-биохимические, эмбриологические, генетические и правовые аспекты)</w:t>
        </w:r>
      </w:hyperlink>
      <w:r w:rsidRPr="000273EC">
        <w:rPr>
          <w:sz w:val="24"/>
          <w:szCs w:val="24"/>
        </w:rPr>
        <w:t>. Материалы VIII Международной научно-практической конференции. - 2018. - С. 29.</w:t>
      </w:r>
    </w:p>
    <w:p w:rsidR="00EA4260" w:rsidRPr="000273EC" w:rsidRDefault="00EA4260" w:rsidP="00EA4260">
      <w:pPr>
        <w:numPr>
          <w:ilvl w:val="0"/>
          <w:numId w:val="1"/>
        </w:numPr>
        <w:tabs>
          <w:tab w:val="left" w:pos="284"/>
          <w:tab w:val="left" w:pos="540"/>
        </w:tabs>
        <w:suppressAutoHyphens/>
        <w:ind w:left="0" w:firstLine="567"/>
        <w:jc w:val="both"/>
        <w:rPr>
          <w:iCs/>
          <w:kern w:val="28"/>
          <w:sz w:val="24"/>
          <w:szCs w:val="24"/>
          <w:lang w:val="en-US"/>
        </w:rPr>
      </w:pPr>
      <w:r w:rsidRPr="000273EC">
        <w:rPr>
          <w:sz w:val="24"/>
          <w:szCs w:val="24"/>
        </w:rPr>
        <w:t>ФАО. Стандарты генных банков для генетических ресурсов растений для производства продовольствия и ведения сельского хозяйства. Издание второе, исправленное и дополненное. Рим</w:t>
      </w:r>
      <w:r w:rsidRPr="000273EC">
        <w:rPr>
          <w:sz w:val="24"/>
          <w:szCs w:val="24"/>
          <w:lang w:val="en-US"/>
        </w:rPr>
        <w:t xml:space="preserve">. </w:t>
      </w:r>
      <w:r w:rsidRPr="000273EC">
        <w:rPr>
          <w:sz w:val="24"/>
          <w:szCs w:val="24"/>
        </w:rPr>
        <w:t xml:space="preserve">- </w:t>
      </w:r>
      <w:r w:rsidRPr="000273EC">
        <w:rPr>
          <w:sz w:val="24"/>
          <w:szCs w:val="24"/>
          <w:lang w:val="en-US"/>
        </w:rPr>
        <w:t xml:space="preserve">2015. – 162 </w:t>
      </w:r>
      <w:r w:rsidRPr="000273EC">
        <w:rPr>
          <w:sz w:val="24"/>
          <w:szCs w:val="24"/>
        </w:rPr>
        <w:t>с</w:t>
      </w:r>
      <w:r w:rsidRPr="000273EC">
        <w:rPr>
          <w:sz w:val="24"/>
          <w:szCs w:val="24"/>
          <w:lang w:val="en-US"/>
        </w:rPr>
        <w:t>.</w:t>
      </w:r>
    </w:p>
    <w:p w:rsidR="00D9799D" w:rsidRPr="000273EC" w:rsidRDefault="00D9799D" w:rsidP="00EA4260">
      <w:pPr>
        <w:numPr>
          <w:ilvl w:val="0"/>
          <w:numId w:val="1"/>
        </w:numPr>
        <w:tabs>
          <w:tab w:val="left" w:pos="284"/>
          <w:tab w:val="left" w:pos="540"/>
        </w:tabs>
        <w:suppressAutoHyphens/>
        <w:ind w:left="0" w:firstLine="567"/>
        <w:jc w:val="both"/>
        <w:rPr>
          <w:iCs/>
          <w:kern w:val="28"/>
          <w:sz w:val="24"/>
          <w:szCs w:val="24"/>
          <w:lang w:val="en-US"/>
        </w:rPr>
      </w:pPr>
      <w:r w:rsidRPr="000273EC">
        <w:rPr>
          <w:sz w:val="24"/>
          <w:szCs w:val="24"/>
          <w:lang w:val="en-US"/>
        </w:rPr>
        <w:t xml:space="preserve">BrailkoV., Ivanova N., MitrofanovaI. Characteristics of the Assimilation in the Clematis Plants Propagated In Vitro // In Vitro Cellular &amp; Developmental Biology – Plant. – 2018 – Vol. 58,Suppl. </w:t>
      </w:r>
      <w:r w:rsidRPr="000273EC">
        <w:rPr>
          <w:sz w:val="24"/>
          <w:szCs w:val="24"/>
        </w:rPr>
        <w:t xml:space="preserve">1 </w:t>
      </w:r>
      <w:r w:rsidRPr="000273EC">
        <w:rPr>
          <w:sz w:val="24"/>
          <w:szCs w:val="24"/>
          <w:lang w:val="en-US"/>
        </w:rPr>
        <w:t xml:space="preserve">– P. 45 </w:t>
      </w:r>
      <w:hyperlink r:id="rId12" w:history="1">
        <w:r w:rsidRPr="000273EC">
          <w:rPr>
            <w:rStyle w:val="a5"/>
            <w:color w:val="auto"/>
            <w:sz w:val="24"/>
            <w:szCs w:val="24"/>
            <w:u w:val="none"/>
            <w:lang w:val="en-US"/>
          </w:rPr>
          <w:t>https://doi.org10.1007/s11627-018-9929-7</w:t>
        </w:r>
      </w:hyperlink>
      <w:r w:rsidRPr="000273EC">
        <w:rPr>
          <w:sz w:val="24"/>
          <w:szCs w:val="24"/>
          <w:lang w:val="en-US"/>
        </w:rPr>
        <w:t>.</w:t>
      </w:r>
    </w:p>
    <w:p w:rsidR="00A91F48" w:rsidRPr="000273EC" w:rsidRDefault="00A91F48" w:rsidP="00EA4260">
      <w:pPr>
        <w:numPr>
          <w:ilvl w:val="0"/>
          <w:numId w:val="1"/>
        </w:numPr>
        <w:tabs>
          <w:tab w:val="left" w:pos="284"/>
          <w:tab w:val="left" w:pos="540"/>
        </w:tabs>
        <w:suppressAutoHyphens/>
        <w:ind w:left="0" w:firstLine="567"/>
        <w:jc w:val="both"/>
        <w:rPr>
          <w:iCs/>
          <w:kern w:val="28"/>
          <w:sz w:val="24"/>
          <w:szCs w:val="24"/>
          <w:lang w:val="en-US"/>
        </w:rPr>
      </w:pPr>
      <w:r w:rsidRPr="000273EC">
        <w:rPr>
          <w:color w:val="000000"/>
          <w:sz w:val="24"/>
          <w:szCs w:val="24"/>
          <w:lang w:val="en-US"/>
        </w:rPr>
        <w:t xml:space="preserve">Ozudogru E.A., Previati A., Lambardi M. </w:t>
      </w:r>
      <w:r w:rsidRPr="004F068C">
        <w:rPr>
          <w:color w:val="000000"/>
          <w:sz w:val="24"/>
          <w:szCs w:val="24"/>
          <w:lang w:val="en-US"/>
        </w:rPr>
        <w:t>In Vitro</w:t>
      </w:r>
      <w:r w:rsidRPr="000273EC">
        <w:rPr>
          <w:color w:val="000000"/>
          <w:sz w:val="24"/>
          <w:szCs w:val="24"/>
          <w:lang w:val="en-US"/>
        </w:rPr>
        <w:t xml:space="preserve"> Conservation and Cryopreservation of Ornamental Plants // Protocols for In Vitro Propagation of Ornamental Plants. Methods in Molecular Biology (Methods and Protocols) / Eds. Jain S.M., Ochatt S. – </w:t>
      </w:r>
      <w:r w:rsidRPr="000273EC">
        <w:rPr>
          <w:color w:val="000000"/>
          <w:sz w:val="24"/>
          <w:szCs w:val="24"/>
          <w:lang w:val="en-US"/>
        </w:rPr>
        <w:lastRenderedPageBreak/>
        <w:t>Vol. 589. – New York: Dordrecht: Heildelberg: London: Springer: Humana Press, 2010 – P. 303-324 https://doi.org/10.1007/978-1-60327-114-128.</w:t>
      </w:r>
    </w:p>
    <w:p w:rsidR="0052625C" w:rsidRPr="000273EC" w:rsidRDefault="0052625C" w:rsidP="00EA4260">
      <w:pPr>
        <w:numPr>
          <w:ilvl w:val="0"/>
          <w:numId w:val="1"/>
        </w:numPr>
        <w:tabs>
          <w:tab w:val="left" w:pos="284"/>
          <w:tab w:val="left" w:pos="540"/>
        </w:tabs>
        <w:suppressAutoHyphens/>
        <w:ind w:left="0" w:firstLine="567"/>
        <w:jc w:val="both"/>
        <w:rPr>
          <w:iCs/>
          <w:kern w:val="28"/>
          <w:sz w:val="24"/>
          <w:szCs w:val="24"/>
        </w:rPr>
      </w:pPr>
      <w:r w:rsidRPr="000273EC">
        <w:rPr>
          <w:iCs/>
          <w:kern w:val="28"/>
          <w:sz w:val="24"/>
          <w:szCs w:val="24"/>
        </w:rPr>
        <w:t>Бъ</w:t>
      </w:r>
      <w:r w:rsidR="001A14DD" w:rsidRPr="000273EC">
        <w:rPr>
          <w:iCs/>
          <w:kern w:val="28"/>
          <w:sz w:val="24"/>
          <w:szCs w:val="24"/>
        </w:rPr>
        <w:t xml:space="preserve">ядовский И.А. Влияние </w:t>
      </w:r>
      <w:r w:rsidRPr="000273EC">
        <w:rPr>
          <w:iCs/>
          <w:kern w:val="28"/>
          <w:sz w:val="24"/>
          <w:szCs w:val="24"/>
        </w:rPr>
        <w:t>компонентов питательной среды и пониже</w:t>
      </w:r>
      <w:r w:rsidR="004F068C">
        <w:rPr>
          <w:iCs/>
          <w:kern w:val="28"/>
          <w:sz w:val="24"/>
          <w:szCs w:val="24"/>
        </w:rPr>
        <w:t>н</w:t>
      </w:r>
      <w:r w:rsidRPr="000273EC">
        <w:rPr>
          <w:iCs/>
          <w:kern w:val="28"/>
          <w:sz w:val="24"/>
          <w:szCs w:val="24"/>
        </w:rPr>
        <w:t>ной температуры на способность к хранению рябины (</w:t>
      </w:r>
      <w:r w:rsidRPr="000273EC">
        <w:rPr>
          <w:i/>
          <w:iCs/>
          <w:kern w:val="28"/>
          <w:sz w:val="24"/>
          <w:szCs w:val="24"/>
          <w:lang w:val="en-US"/>
        </w:rPr>
        <w:t>Sorbus</w:t>
      </w:r>
      <w:r w:rsidRPr="000273EC">
        <w:rPr>
          <w:iCs/>
          <w:kern w:val="28"/>
          <w:sz w:val="24"/>
          <w:szCs w:val="24"/>
        </w:rPr>
        <w:t xml:space="preserve">). </w:t>
      </w:r>
      <w:r w:rsidRPr="000273EC">
        <w:rPr>
          <w:color w:val="000000"/>
          <w:sz w:val="24"/>
          <w:szCs w:val="24"/>
        </w:rPr>
        <w:t xml:space="preserve">// Плодоводство и ягодоводство России. Т. 48. - </w:t>
      </w:r>
      <w:r w:rsidRPr="000273EC">
        <w:rPr>
          <w:iCs/>
          <w:kern w:val="28"/>
          <w:sz w:val="24"/>
          <w:szCs w:val="24"/>
        </w:rPr>
        <w:t>№ 2. - 2017. - С. 60-64.</w:t>
      </w:r>
    </w:p>
    <w:p w:rsidR="00A91F48" w:rsidRPr="000273EC" w:rsidRDefault="00A91F48" w:rsidP="00EA4260">
      <w:pPr>
        <w:numPr>
          <w:ilvl w:val="0"/>
          <w:numId w:val="1"/>
        </w:numPr>
        <w:tabs>
          <w:tab w:val="left" w:pos="284"/>
          <w:tab w:val="left" w:pos="540"/>
        </w:tabs>
        <w:suppressAutoHyphens/>
        <w:ind w:left="0" w:firstLine="567"/>
        <w:jc w:val="both"/>
        <w:rPr>
          <w:iCs/>
          <w:kern w:val="28"/>
          <w:sz w:val="24"/>
          <w:szCs w:val="24"/>
        </w:rPr>
      </w:pPr>
      <w:r w:rsidRPr="000273EC">
        <w:rPr>
          <w:sz w:val="24"/>
          <w:szCs w:val="24"/>
        </w:rPr>
        <w:t>Алексеенко Л.В., Высоцкий В.А. Методика регенерации плодовых и ягодных растений в культуре эксплантов различного происхождения. М., 2008. – 25 с.</w:t>
      </w:r>
    </w:p>
    <w:sectPr w:rsidR="00A91F48" w:rsidRPr="000273EC" w:rsidSect="000273EC">
      <w:headerReference w:type="default" r:id="rId13"/>
      <w:pgSz w:w="11906" w:h="16838"/>
      <w:pgMar w:top="1701" w:right="1304" w:bottom="1247" w:left="1247"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226" w:rsidRDefault="00722226" w:rsidP="00CD78C9">
      <w:r>
        <w:separator/>
      </w:r>
    </w:p>
  </w:endnote>
  <w:endnote w:type="continuationSeparator" w:id="1">
    <w:p w:rsidR="00722226" w:rsidRDefault="00722226" w:rsidP="00CD78C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226" w:rsidRDefault="00722226" w:rsidP="00CD78C9">
      <w:r>
        <w:separator/>
      </w:r>
    </w:p>
  </w:footnote>
  <w:footnote w:type="continuationSeparator" w:id="1">
    <w:p w:rsidR="00722226" w:rsidRDefault="00722226" w:rsidP="00CD7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3081"/>
      <w:docPartObj>
        <w:docPartGallery w:val="Page Numbers (Top of Page)"/>
        <w:docPartUnique/>
      </w:docPartObj>
    </w:sdtPr>
    <w:sdtContent>
      <w:p w:rsidR="000273EC" w:rsidRDefault="000273EC">
        <w:pPr>
          <w:pStyle w:val="ab"/>
          <w:jc w:val="right"/>
        </w:pPr>
        <w:fldSimple w:instr=" PAGE   \* MERGEFORMAT ">
          <w:r w:rsidR="004F068C">
            <w:rPr>
              <w:noProof/>
            </w:rPr>
            <w:t>4</w:t>
          </w:r>
        </w:fldSimple>
      </w:p>
    </w:sdtContent>
  </w:sdt>
  <w:p w:rsidR="00CD78C9" w:rsidRDefault="00CD78C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83F6F"/>
    <w:multiLevelType w:val="hybridMultilevel"/>
    <w:tmpl w:val="890E7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387C84"/>
    <w:multiLevelType w:val="hybridMultilevel"/>
    <w:tmpl w:val="5DB6A018"/>
    <w:lvl w:ilvl="0" w:tplc="07D032CE">
      <w:start w:val="1"/>
      <w:numFmt w:val="decimal"/>
      <w:lvlText w:val="%1."/>
      <w:lvlJc w:val="left"/>
      <w:pPr>
        <w:ind w:left="720" w:hanging="360"/>
      </w:pPr>
      <w:rPr>
        <w:rFonts w:ascii="Liberation Serif" w:eastAsia="TimesNewRomanPSMT" w:hAnsi="Liberation Serif" w:cs="Liberation Serif"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10198"/>
    <w:rsid w:val="00025FAA"/>
    <w:rsid w:val="000273EC"/>
    <w:rsid w:val="0006126C"/>
    <w:rsid w:val="00073F6A"/>
    <w:rsid w:val="00090EC0"/>
    <w:rsid w:val="000A66B0"/>
    <w:rsid w:val="000E1DD8"/>
    <w:rsid w:val="00140DFE"/>
    <w:rsid w:val="001A14DD"/>
    <w:rsid w:val="002444C1"/>
    <w:rsid w:val="0033446D"/>
    <w:rsid w:val="00357A1D"/>
    <w:rsid w:val="00360978"/>
    <w:rsid w:val="00365C6A"/>
    <w:rsid w:val="003855CD"/>
    <w:rsid w:val="004F068C"/>
    <w:rsid w:val="0052625C"/>
    <w:rsid w:val="005728D7"/>
    <w:rsid w:val="005D2669"/>
    <w:rsid w:val="006F08A3"/>
    <w:rsid w:val="006F6622"/>
    <w:rsid w:val="00702641"/>
    <w:rsid w:val="00722226"/>
    <w:rsid w:val="007B1383"/>
    <w:rsid w:val="008220E8"/>
    <w:rsid w:val="00861A63"/>
    <w:rsid w:val="009019C1"/>
    <w:rsid w:val="009F00C7"/>
    <w:rsid w:val="00A02F48"/>
    <w:rsid w:val="00A102AB"/>
    <w:rsid w:val="00A443EB"/>
    <w:rsid w:val="00A91F48"/>
    <w:rsid w:val="00B10198"/>
    <w:rsid w:val="00B32FF4"/>
    <w:rsid w:val="00B432C0"/>
    <w:rsid w:val="00BC51F8"/>
    <w:rsid w:val="00C47E29"/>
    <w:rsid w:val="00CD78C9"/>
    <w:rsid w:val="00D9799D"/>
    <w:rsid w:val="00DB3D3C"/>
    <w:rsid w:val="00DE6EE2"/>
    <w:rsid w:val="00EA4260"/>
    <w:rsid w:val="00EE7FAC"/>
    <w:rsid w:val="00EF1F09"/>
    <w:rsid w:val="00EF50B7"/>
    <w:rsid w:val="00F0782A"/>
    <w:rsid w:val="00FD4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9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20E8"/>
    <w:rPr>
      <w:b/>
      <w:bCs/>
    </w:rPr>
  </w:style>
  <w:style w:type="character" w:customStyle="1" w:styleId="hps">
    <w:name w:val="hps"/>
    <w:basedOn w:val="a0"/>
    <w:rsid w:val="008220E8"/>
  </w:style>
  <w:style w:type="paragraph" w:styleId="a4">
    <w:name w:val="No Spacing"/>
    <w:uiPriority w:val="1"/>
    <w:qFormat/>
    <w:rsid w:val="00861A63"/>
    <w:pPr>
      <w:spacing w:after="0" w:line="240" w:lineRule="auto"/>
    </w:pPr>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D9799D"/>
    <w:rPr>
      <w:color w:val="0000FF"/>
      <w:u w:val="single"/>
    </w:rPr>
  </w:style>
  <w:style w:type="paragraph" w:styleId="a6">
    <w:name w:val="List Paragraph"/>
    <w:basedOn w:val="a"/>
    <w:uiPriority w:val="34"/>
    <w:qFormat/>
    <w:rsid w:val="00D9799D"/>
    <w:pPr>
      <w:ind w:left="720"/>
      <w:contextualSpacing/>
    </w:pPr>
  </w:style>
  <w:style w:type="paragraph" w:styleId="a7">
    <w:name w:val="Balloon Text"/>
    <w:basedOn w:val="a"/>
    <w:link w:val="a8"/>
    <w:uiPriority w:val="99"/>
    <w:semiHidden/>
    <w:unhideWhenUsed/>
    <w:rsid w:val="005D2669"/>
    <w:rPr>
      <w:rFonts w:ascii="Tahoma" w:hAnsi="Tahoma" w:cs="Tahoma"/>
      <w:sz w:val="16"/>
      <w:szCs w:val="16"/>
    </w:rPr>
  </w:style>
  <w:style w:type="character" w:customStyle="1" w:styleId="a8">
    <w:name w:val="Текст выноски Знак"/>
    <w:basedOn w:val="a0"/>
    <w:link w:val="a7"/>
    <w:uiPriority w:val="99"/>
    <w:semiHidden/>
    <w:rsid w:val="005D2669"/>
    <w:rPr>
      <w:rFonts w:ascii="Tahoma" w:eastAsia="Times New Roman" w:hAnsi="Tahoma" w:cs="Tahoma"/>
      <w:sz w:val="16"/>
      <w:szCs w:val="16"/>
      <w:lang w:eastAsia="ru-RU"/>
    </w:rPr>
  </w:style>
  <w:style w:type="paragraph" w:styleId="a9">
    <w:name w:val="annotation text"/>
    <w:basedOn w:val="a"/>
    <w:link w:val="aa"/>
    <w:rsid w:val="00A02F48"/>
    <w:rPr>
      <w:sz w:val="20"/>
    </w:rPr>
  </w:style>
  <w:style w:type="character" w:customStyle="1" w:styleId="aa">
    <w:name w:val="Текст примечания Знак"/>
    <w:basedOn w:val="a0"/>
    <w:link w:val="a9"/>
    <w:rsid w:val="00A02F48"/>
    <w:rPr>
      <w:rFonts w:ascii="Times New Roman" w:eastAsia="Times New Roman" w:hAnsi="Times New Roman" w:cs="Times New Roman"/>
      <w:sz w:val="20"/>
      <w:szCs w:val="20"/>
      <w:lang w:eastAsia="ru-RU"/>
    </w:rPr>
  </w:style>
  <w:style w:type="character" w:customStyle="1" w:styleId="gt-baf-cell">
    <w:name w:val="gt-baf-cell"/>
    <w:basedOn w:val="a0"/>
    <w:rsid w:val="00EE7FAC"/>
  </w:style>
  <w:style w:type="paragraph" w:styleId="ab">
    <w:name w:val="header"/>
    <w:basedOn w:val="a"/>
    <w:link w:val="ac"/>
    <w:uiPriority w:val="99"/>
    <w:unhideWhenUsed/>
    <w:rsid w:val="00CD78C9"/>
    <w:pPr>
      <w:tabs>
        <w:tab w:val="center" w:pos="4677"/>
        <w:tab w:val="right" w:pos="9355"/>
      </w:tabs>
    </w:pPr>
  </w:style>
  <w:style w:type="character" w:customStyle="1" w:styleId="ac">
    <w:name w:val="Верхний колонтитул Знак"/>
    <w:basedOn w:val="a0"/>
    <w:link w:val="ab"/>
    <w:uiPriority w:val="99"/>
    <w:rsid w:val="00CD78C9"/>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CD78C9"/>
    <w:pPr>
      <w:tabs>
        <w:tab w:val="center" w:pos="4677"/>
        <w:tab w:val="right" w:pos="9355"/>
      </w:tabs>
    </w:pPr>
  </w:style>
  <w:style w:type="character" w:customStyle="1" w:styleId="ae">
    <w:name w:val="Нижний колонтитул Знак"/>
    <w:basedOn w:val="a0"/>
    <w:link w:val="ad"/>
    <w:uiPriority w:val="99"/>
    <w:rsid w:val="00CD78C9"/>
    <w:rPr>
      <w:rFonts w:ascii="Times New Roman" w:eastAsia="Times New Roman" w:hAnsi="Times New Roman" w:cs="Times New Roman"/>
      <w:sz w:val="28"/>
      <w:szCs w:val="20"/>
      <w:lang w:eastAsia="ru-RU"/>
    </w:rPr>
  </w:style>
  <w:style w:type="character" w:customStyle="1" w:styleId="tlid-translation">
    <w:name w:val="tlid-translation"/>
    <w:basedOn w:val="a0"/>
    <w:rsid w:val="00073F6A"/>
  </w:style>
  <w:style w:type="paragraph" w:styleId="af">
    <w:name w:val="Body Text"/>
    <w:basedOn w:val="a"/>
    <w:link w:val="af0"/>
    <w:unhideWhenUsed/>
    <w:rsid w:val="000273EC"/>
    <w:pPr>
      <w:spacing w:after="120" w:line="276" w:lineRule="auto"/>
    </w:pPr>
    <w:rPr>
      <w:rFonts w:ascii="Calibri" w:hAnsi="Calibri"/>
      <w:sz w:val="22"/>
      <w:szCs w:val="22"/>
    </w:rPr>
  </w:style>
  <w:style w:type="character" w:customStyle="1" w:styleId="af0">
    <w:name w:val="Основной текст Знак"/>
    <w:basedOn w:val="a0"/>
    <w:link w:val="af"/>
    <w:rsid w:val="000273E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7935885">
      <w:bodyDiv w:val="1"/>
      <w:marLeft w:val="0"/>
      <w:marRight w:val="0"/>
      <w:marTop w:val="0"/>
      <w:marBottom w:val="0"/>
      <w:divBdr>
        <w:top w:val="none" w:sz="0" w:space="0" w:color="auto"/>
        <w:left w:val="none" w:sz="0" w:space="0" w:color="auto"/>
        <w:bottom w:val="none" w:sz="0" w:space="0" w:color="auto"/>
        <w:right w:val="none" w:sz="0" w:space="0" w:color="auto"/>
      </w:divBdr>
      <w:divsChild>
        <w:div w:id="340277042">
          <w:marLeft w:val="0"/>
          <w:marRight w:val="0"/>
          <w:marTop w:val="61"/>
          <w:marBottom w:val="61"/>
          <w:divBdr>
            <w:top w:val="none" w:sz="0" w:space="0" w:color="auto"/>
            <w:left w:val="none" w:sz="0" w:space="0" w:color="auto"/>
            <w:bottom w:val="none" w:sz="0" w:space="0" w:color="auto"/>
            <w:right w:val="none" w:sz="0" w:space="0" w:color="auto"/>
          </w:divBdr>
        </w:div>
      </w:divsChild>
    </w:div>
    <w:div w:id="114920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627-018-992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item.asp?id=356414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ibrary.ru/item.asp?id=3564149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omp9\Desktop\&#1089;&#1086;&#1093;&#1088;&#1072;&#1085;&#1077;&#1085;&#1080;&#1077;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mp9\Desktop\&#1089;&#1086;&#1093;&#1088;&#1072;&#1085;&#1077;&#1085;&#1080;&#1077;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hPercent val="59"/>
      <c:depthPercent val="100"/>
      <c:rAngAx val="1"/>
    </c:view3D>
    <c:floor>
      <c:spPr>
        <a:solidFill>
          <a:srgbClr val="C0C0C0"/>
        </a:solidFill>
        <a:ln w="3175">
          <a:solidFill>
            <a:srgbClr val="000000"/>
          </a:solidFill>
          <a:prstDash val="solid"/>
        </a:ln>
      </c:spPr>
    </c:floor>
    <c:sideWall>
      <c:spPr>
        <a:solidFill>
          <a:srgbClr val="FFFFFF"/>
        </a:solidFill>
        <a:ln w="12700">
          <a:solidFill>
            <a:srgbClr val="C0C0C0"/>
          </a:solidFill>
          <a:prstDash val="solid"/>
        </a:ln>
      </c:spPr>
    </c:sideWall>
    <c:backWall>
      <c:spPr>
        <a:solidFill>
          <a:srgbClr val="FFFFFF"/>
        </a:solidFill>
        <a:ln w="12700">
          <a:solidFill>
            <a:srgbClr val="C0C0C0"/>
          </a:solidFill>
          <a:prstDash val="solid"/>
        </a:ln>
      </c:spPr>
    </c:backWall>
    <c:plotArea>
      <c:layout>
        <c:manualLayout>
          <c:layoutTarget val="inner"/>
          <c:xMode val="edge"/>
          <c:yMode val="edge"/>
          <c:x val="0.12159709618874764"/>
          <c:y val="5.3908355795148251E-2"/>
          <c:w val="0.87114337568058198"/>
          <c:h val="0.60377358490565969"/>
        </c:manualLayout>
      </c:layout>
      <c:bar3DChart>
        <c:barDir val="col"/>
        <c:grouping val="clustered"/>
        <c:ser>
          <c:idx val="0"/>
          <c:order val="0"/>
          <c:tx>
            <c:strRef>
              <c:f>'малина БД'!$B$69</c:f>
              <c:strCache>
                <c:ptCount val="1"/>
                <c:pt idx="0">
                  <c:v>0,45 % (1 вариант)</c:v>
                </c:pt>
              </c:strCache>
            </c:strRef>
          </c:tx>
          <c:spPr>
            <a:pattFill prst="ltHorz">
              <a:fgClr>
                <a:srgbClr val="000000"/>
              </a:fgClr>
              <a:bgClr>
                <a:srgbClr val="FFFFFF"/>
              </a:bgClr>
            </a:pattFill>
            <a:ln w="12700">
              <a:solidFill>
                <a:srgbClr val="000000"/>
              </a:solidFill>
              <a:prstDash val="solid"/>
            </a:ln>
          </c:spPr>
          <c:cat>
            <c:multiLvlStrRef>
              <c:f>'малина БД'!$C$66:$J$68</c:f>
              <c:multiLvlStrCache>
                <c:ptCount val="8"/>
                <c:lvl>
                  <c:pt idx="0">
                    <c:v>дульцит</c:v>
                  </c:pt>
                  <c:pt idx="1">
                    <c:v>маннит</c:v>
                  </c:pt>
                  <c:pt idx="2">
                    <c:v>дульцит</c:v>
                  </c:pt>
                  <c:pt idx="3">
                    <c:v>маннит</c:v>
                  </c:pt>
                  <c:pt idx="4">
                    <c:v>дульцит</c:v>
                  </c:pt>
                  <c:pt idx="5">
                    <c:v>маннит</c:v>
                  </c:pt>
                  <c:pt idx="6">
                    <c:v>дульцит</c:v>
                  </c:pt>
                  <c:pt idx="7">
                    <c:v>маннит</c:v>
                  </c:pt>
                </c:lvl>
                <c:lvl>
                  <c:pt idx="0">
                    <c:v>3</c:v>
                  </c:pt>
                  <c:pt idx="2">
                    <c:v>6</c:v>
                  </c:pt>
                  <c:pt idx="4">
                    <c:v>9</c:v>
                  </c:pt>
                  <c:pt idx="6">
                    <c:v>12</c:v>
                  </c:pt>
                </c:lvl>
              </c:multiLvlStrCache>
            </c:multiLvlStrRef>
          </c:cat>
          <c:val>
            <c:numRef>
              <c:f>'малина БД'!$C$69:$J$69</c:f>
              <c:numCache>
                <c:formatCode>General</c:formatCode>
                <c:ptCount val="8"/>
                <c:pt idx="0">
                  <c:v>45</c:v>
                </c:pt>
                <c:pt idx="1">
                  <c:v>60</c:v>
                </c:pt>
                <c:pt idx="2">
                  <c:v>25</c:v>
                </c:pt>
                <c:pt idx="3">
                  <c:v>10</c:v>
                </c:pt>
                <c:pt idx="4">
                  <c:v>0</c:v>
                </c:pt>
                <c:pt idx="5">
                  <c:v>0</c:v>
                </c:pt>
                <c:pt idx="6">
                  <c:v>0</c:v>
                </c:pt>
                <c:pt idx="7">
                  <c:v>0</c:v>
                </c:pt>
              </c:numCache>
            </c:numRef>
          </c:val>
        </c:ser>
        <c:ser>
          <c:idx val="1"/>
          <c:order val="1"/>
          <c:tx>
            <c:strRef>
              <c:f>'малина БД'!$B$70</c:f>
              <c:strCache>
                <c:ptCount val="1"/>
                <c:pt idx="0">
                  <c:v>0,75 % (2 вариант)</c:v>
                </c:pt>
              </c:strCache>
            </c:strRef>
          </c:tx>
          <c:spPr>
            <a:pattFill prst="pct60">
              <a:fgClr>
                <a:srgbClr val="000000"/>
              </a:fgClr>
              <a:bgClr>
                <a:srgbClr val="FFFFFF"/>
              </a:bgClr>
            </a:pattFill>
            <a:ln w="12700">
              <a:solidFill>
                <a:srgbClr val="000000"/>
              </a:solidFill>
              <a:prstDash val="solid"/>
            </a:ln>
          </c:spPr>
          <c:cat>
            <c:multiLvlStrRef>
              <c:f>'малина БД'!$C$66:$J$68</c:f>
              <c:multiLvlStrCache>
                <c:ptCount val="8"/>
                <c:lvl>
                  <c:pt idx="0">
                    <c:v>дульцит</c:v>
                  </c:pt>
                  <c:pt idx="1">
                    <c:v>маннит</c:v>
                  </c:pt>
                  <c:pt idx="2">
                    <c:v>дульцит</c:v>
                  </c:pt>
                  <c:pt idx="3">
                    <c:v>маннит</c:v>
                  </c:pt>
                  <c:pt idx="4">
                    <c:v>дульцит</c:v>
                  </c:pt>
                  <c:pt idx="5">
                    <c:v>маннит</c:v>
                  </c:pt>
                  <c:pt idx="6">
                    <c:v>дульцит</c:v>
                  </c:pt>
                  <c:pt idx="7">
                    <c:v>маннит</c:v>
                  </c:pt>
                </c:lvl>
                <c:lvl>
                  <c:pt idx="0">
                    <c:v>3</c:v>
                  </c:pt>
                  <c:pt idx="2">
                    <c:v>6</c:v>
                  </c:pt>
                  <c:pt idx="4">
                    <c:v>9</c:v>
                  </c:pt>
                  <c:pt idx="6">
                    <c:v>12</c:v>
                  </c:pt>
                </c:lvl>
              </c:multiLvlStrCache>
            </c:multiLvlStrRef>
          </c:cat>
          <c:val>
            <c:numRef>
              <c:f>'малина БД'!$C$70:$J$70</c:f>
              <c:numCache>
                <c:formatCode>General</c:formatCode>
                <c:ptCount val="8"/>
                <c:pt idx="0">
                  <c:v>60</c:v>
                </c:pt>
                <c:pt idx="1">
                  <c:v>80</c:v>
                </c:pt>
                <c:pt idx="2">
                  <c:v>25</c:v>
                </c:pt>
                <c:pt idx="3">
                  <c:v>45</c:v>
                </c:pt>
                <c:pt idx="4">
                  <c:v>0</c:v>
                </c:pt>
                <c:pt idx="5">
                  <c:v>25</c:v>
                </c:pt>
                <c:pt idx="6">
                  <c:v>0</c:v>
                </c:pt>
                <c:pt idx="7">
                  <c:v>0</c:v>
                </c:pt>
              </c:numCache>
            </c:numRef>
          </c:val>
        </c:ser>
        <c:ser>
          <c:idx val="2"/>
          <c:order val="2"/>
          <c:tx>
            <c:strRef>
              <c:f>'малина БД'!$B$71</c:f>
              <c:strCache>
                <c:ptCount val="1"/>
                <c:pt idx="0">
                  <c:v>1,05 % (3 вариант)</c:v>
                </c:pt>
              </c:strCache>
            </c:strRef>
          </c:tx>
          <c:spPr>
            <a:pattFill prst="ltUpDiag">
              <a:fgClr>
                <a:srgbClr val="000000"/>
              </a:fgClr>
              <a:bgClr>
                <a:srgbClr val="FFFFFF"/>
              </a:bgClr>
            </a:pattFill>
            <a:ln w="12700">
              <a:solidFill>
                <a:srgbClr val="000000"/>
              </a:solidFill>
              <a:prstDash val="solid"/>
            </a:ln>
          </c:spPr>
          <c:cat>
            <c:multiLvlStrRef>
              <c:f>'малина БД'!$C$66:$J$68</c:f>
              <c:multiLvlStrCache>
                <c:ptCount val="8"/>
                <c:lvl>
                  <c:pt idx="0">
                    <c:v>дульцит</c:v>
                  </c:pt>
                  <c:pt idx="1">
                    <c:v>маннит</c:v>
                  </c:pt>
                  <c:pt idx="2">
                    <c:v>дульцит</c:v>
                  </c:pt>
                  <c:pt idx="3">
                    <c:v>маннит</c:v>
                  </c:pt>
                  <c:pt idx="4">
                    <c:v>дульцит</c:v>
                  </c:pt>
                  <c:pt idx="5">
                    <c:v>маннит</c:v>
                  </c:pt>
                  <c:pt idx="6">
                    <c:v>дульцит</c:v>
                  </c:pt>
                  <c:pt idx="7">
                    <c:v>маннит</c:v>
                  </c:pt>
                </c:lvl>
                <c:lvl>
                  <c:pt idx="0">
                    <c:v>3</c:v>
                  </c:pt>
                  <c:pt idx="2">
                    <c:v>6</c:v>
                  </c:pt>
                  <c:pt idx="4">
                    <c:v>9</c:v>
                  </c:pt>
                  <c:pt idx="6">
                    <c:v>12</c:v>
                  </c:pt>
                </c:lvl>
              </c:multiLvlStrCache>
            </c:multiLvlStrRef>
          </c:cat>
          <c:val>
            <c:numRef>
              <c:f>'малина БД'!$C$71:$J$71</c:f>
              <c:numCache>
                <c:formatCode>General</c:formatCode>
                <c:ptCount val="8"/>
                <c:pt idx="0">
                  <c:v>40</c:v>
                </c:pt>
                <c:pt idx="1">
                  <c:v>75</c:v>
                </c:pt>
                <c:pt idx="2">
                  <c:v>15</c:v>
                </c:pt>
                <c:pt idx="3">
                  <c:v>45</c:v>
                </c:pt>
                <c:pt idx="4">
                  <c:v>0</c:v>
                </c:pt>
                <c:pt idx="5">
                  <c:v>5</c:v>
                </c:pt>
                <c:pt idx="6">
                  <c:v>0</c:v>
                </c:pt>
                <c:pt idx="7">
                  <c:v>0</c:v>
                </c:pt>
              </c:numCache>
            </c:numRef>
          </c:val>
        </c:ser>
        <c:ser>
          <c:idx val="3"/>
          <c:order val="3"/>
          <c:tx>
            <c:strRef>
              <c:f>'малина БД'!$B$72</c:f>
              <c:strCache>
                <c:ptCount val="1"/>
                <c:pt idx="0">
                  <c:v>3,0 % ( контроль)</c:v>
                </c:pt>
              </c:strCache>
            </c:strRef>
          </c:tx>
          <c:spPr>
            <a:pattFill prst="narHorz">
              <a:fgClr>
                <a:srgbClr val="000000"/>
              </a:fgClr>
              <a:bgClr>
                <a:srgbClr val="FFFFFF"/>
              </a:bgClr>
            </a:pattFill>
            <a:ln w="12700">
              <a:solidFill>
                <a:srgbClr val="000000"/>
              </a:solidFill>
              <a:prstDash val="solid"/>
            </a:ln>
          </c:spPr>
          <c:cat>
            <c:multiLvlStrRef>
              <c:f>'малина БД'!$C$66:$J$68</c:f>
              <c:multiLvlStrCache>
                <c:ptCount val="8"/>
                <c:lvl>
                  <c:pt idx="0">
                    <c:v>дульцит</c:v>
                  </c:pt>
                  <c:pt idx="1">
                    <c:v>маннит</c:v>
                  </c:pt>
                  <c:pt idx="2">
                    <c:v>дульцит</c:v>
                  </c:pt>
                  <c:pt idx="3">
                    <c:v>маннит</c:v>
                  </c:pt>
                  <c:pt idx="4">
                    <c:v>дульцит</c:v>
                  </c:pt>
                  <c:pt idx="5">
                    <c:v>маннит</c:v>
                  </c:pt>
                  <c:pt idx="6">
                    <c:v>дульцит</c:v>
                  </c:pt>
                  <c:pt idx="7">
                    <c:v>маннит</c:v>
                  </c:pt>
                </c:lvl>
                <c:lvl>
                  <c:pt idx="0">
                    <c:v>3</c:v>
                  </c:pt>
                  <c:pt idx="2">
                    <c:v>6</c:v>
                  </c:pt>
                  <c:pt idx="4">
                    <c:v>9</c:v>
                  </c:pt>
                  <c:pt idx="6">
                    <c:v>12</c:v>
                  </c:pt>
                </c:lvl>
              </c:multiLvlStrCache>
            </c:multiLvlStrRef>
          </c:cat>
          <c:val>
            <c:numRef>
              <c:f>'малина БД'!$C$72:$J$72</c:f>
              <c:numCache>
                <c:formatCode>General</c:formatCode>
                <c:ptCount val="8"/>
                <c:pt idx="0">
                  <c:v>80</c:v>
                </c:pt>
                <c:pt idx="1">
                  <c:v>75</c:v>
                </c:pt>
                <c:pt idx="2">
                  <c:v>60</c:v>
                </c:pt>
                <c:pt idx="3">
                  <c:v>65</c:v>
                </c:pt>
                <c:pt idx="4">
                  <c:v>45</c:v>
                </c:pt>
                <c:pt idx="5">
                  <c:v>45</c:v>
                </c:pt>
                <c:pt idx="6">
                  <c:v>15</c:v>
                </c:pt>
                <c:pt idx="7">
                  <c:v>25</c:v>
                </c:pt>
              </c:numCache>
            </c:numRef>
          </c:val>
        </c:ser>
        <c:shape val="box"/>
        <c:axId val="219792128"/>
        <c:axId val="219794048"/>
        <c:axId val="0"/>
      </c:bar3DChart>
      <c:catAx>
        <c:axId val="219792128"/>
        <c:scaling>
          <c:orientation val="minMax"/>
        </c:scaling>
        <c:axPos val="b"/>
        <c:title>
          <c:tx>
            <c:rich>
              <a:bodyPr/>
              <a:lstStyle/>
              <a:p>
                <a:pPr>
                  <a:defRPr sz="1100" b="0" i="0" u="none" strike="noStrike" baseline="0">
                    <a:solidFill>
                      <a:srgbClr val="000000"/>
                    </a:solidFill>
                    <a:latin typeface="Times New Roman"/>
                    <a:ea typeface="Times New Roman"/>
                    <a:cs typeface="Times New Roman"/>
                  </a:defRPr>
                </a:pPr>
                <a:r>
                  <a:rPr lang="ru-RU"/>
                  <a:t>срок хранения, месяцы</a:t>
                </a:r>
              </a:p>
            </c:rich>
          </c:tx>
          <c:layout>
            <c:manualLayout>
              <c:xMode val="edge"/>
              <c:yMode val="edge"/>
              <c:x val="0.41923777256208355"/>
              <c:y val="0.79245277032678607"/>
            </c:manualLayout>
          </c:layout>
          <c:spPr>
            <a:noFill/>
            <a:ln w="25400">
              <a:noFill/>
            </a:ln>
          </c:spPr>
        </c:title>
        <c:numFmt formatCode="General" sourceLinked="1"/>
        <c:tickLblPos val="low"/>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19794048"/>
        <c:crosses val="autoZero"/>
        <c:auto val="1"/>
        <c:lblAlgn val="ctr"/>
        <c:lblOffset val="100"/>
        <c:tickLblSkip val="1"/>
        <c:tickMarkSkip val="1"/>
      </c:catAx>
      <c:valAx>
        <c:axId val="219794048"/>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Times New Roman"/>
                    <a:ea typeface="Times New Roman"/>
                    <a:cs typeface="Times New Roman"/>
                  </a:defRPr>
                </a:pPr>
                <a:r>
                  <a:rPr lang="ru-RU"/>
                  <a:t>доля живых растений, %</a:t>
                </a:r>
              </a:p>
            </c:rich>
          </c:tx>
          <c:layout>
            <c:manualLayout>
              <c:xMode val="edge"/>
              <c:yMode val="edge"/>
              <c:x val="0.12522694579043023"/>
              <c:y val="0.15094343976233779"/>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Times New Roman" pitchFamily="18" charset="0"/>
                <a:ea typeface="Arial Cyr"/>
                <a:cs typeface="Times New Roman" pitchFamily="18" charset="0"/>
              </a:defRPr>
            </a:pPr>
            <a:endParaRPr lang="ru-RU"/>
          </a:p>
        </c:txPr>
        <c:crossAx val="219792128"/>
        <c:crosses val="autoZero"/>
        <c:crossBetween val="between"/>
      </c:valAx>
      <c:spPr>
        <a:noFill/>
        <a:ln w="25400">
          <a:noFill/>
        </a:ln>
      </c:spPr>
    </c:plotArea>
    <c:legend>
      <c:legendPos val="r"/>
      <c:layout>
        <c:manualLayout>
          <c:xMode val="edge"/>
          <c:yMode val="edge"/>
          <c:x val="1.6216244749867607E-2"/>
          <c:y val="0.91105121293800595"/>
          <c:w val="0.97117288001984803"/>
          <c:h val="7.0080862533692723E-2"/>
        </c:manualLayout>
      </c:layout>
      <c:spPr>
        <a:solidFill>
          <a:srgbClr val="FFFFFF"/>
        </a:solidFill>
        <a:ln w="3175">
          <a:no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3175">
      <a:no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hPercent val="58"/>
      <c:depthPercent val="100"/>
      <c:rAngAx val="1"/>
    </c:view3D>
    <c:floor>
      <c:spPr>
        <a:solidFill>
          <a:srgbClr val="C0C0C0"/>
        </a:solidFill>
        <a:ln w="3175">
          <a:solidFill>
            <a:srgbClr val="000000"/>
          </a:solidFill>
          <a:prstDash val="solid"/>
        </a:ln>
      </c:spPr>
    </c:floor>
    <c:plotArea>
      <c:layout>
        <c:manualLayout>
          <c:layoutTarget val="inner"/>
          <c:xMode val="edge"/>
          <c:yMode val="edge"/>
          <c:x val="0.12162937464142289"/>
          <c:y val="4.9479166666666657E-2"/>
          <c:w val="0.87435456110154908"/>
          <c:h val="0.61458489630354984"/>
        </c:manualLayout>
      </c:layout>
      <c:bar3DChart>
        <c:barDir val="col"/>
        <c:grouping val="clustered"/>
        <c:ser>
          <c:idx val="0"/>
          <c:order val="0"/>
          <c:tx>
            <c:strRef>
              <c:f>'малина БД'!$B$4</c:f>
              <c:strCache>
                <c:ptCount val="1"/>
                <c:pt idx="0">
                  <c:v>0,45 % (1 вариант)</c:v>
                </c:pt>
              </c:strCache>
            </c:strRef>
          </c:tx>
          <c:spPr>
            <a:pattFill prst="ltHorz">
              <a:fgClr>
                <a:srgbClr val="000000"/>
              </a:fgClr>
              <a:bgClr>
                <a:srgbClr val="FFFFFF"/>
              </a:bgClr>
            </a:pattFill>
            <a:ln w="12700">
              <a:solidFill>
                <a:srgbClr val="000000"/>
              </a:solidFill>
              <a:prstDash val="solid"/>
            </a:ln>
          </c:spPr>
          <c:cat>
            <c:multiLvlStrRef>
              <c:f>'малина БД'!$C$1:$J$3</c:f>
              <c:multiLvlStrCache>
                <c:ptCount val="8"/>
                <c:lvl>
                  <c:pt idx="0">
                    <c:v>дульцит</c:v>
                  </c:pt>
                  <c:pt idx="1">
                    <c:v>маннит</c:v>
                  </c:pt>
                  <c:pt idx="2">
                    <c:v>дульцит</c:v>
                  </c:pt>
                  <c:pt idx="3">
                    <c:v>маннит</c:v>
                  </c:pt>
                  <c:pt idx="4">
                    <c:v>дульцит</c:v>
                  </c:pt>
                  <c:pt idx="5">
                    <c:v>маннит</c:v>
                  </c:pt>
                  <c:pt idx="6">
                    <c:v>дульцит</c:v>
                  </c:pt>
                  <c:pt idx="7">
                    <c:v>маннит</c:v>
                  </c:pt>
                </c:lvl>
                <c:lvl>
                  <c:pt idx="0">
                    <c:v>3</c:v>
                  </c:pt>
                  <c:pt idx="2">
                    <c:v>6</c:v>
                  </c:pt>
                  <c:pt idx="4">
                    <c:v>9</c:v>
                  </c:pt>
                  <c:pt idx="6">
                    <c:v>12</c:v>
                  </c:pt>
                </c:lvl>
              </c:multiLvlStrCache>
            </c:multiLvlStrRef>
          </c:cat>
          <c:val>
            <c:numRef>
              <c:f>'малина БД'!$C$4:$J$4</c:f>
              <c:numCache>
                <c:formatCode>General</c:formatCode>
                <c:ptCount val="8"/>
                <c:pt idx="0">
                  <c:v>65</c:v>
                </c:pt>
                <c:pt idx="1">
                  <c:v>70</c:v>
                </c:pt>
                <c:pt idx="2">
                  <c:v>30</c:v>
                </c:pt>
                <c:pt idx="3">
                  <c:v>60</c:v>
                </c:pt>
                <c:pt idx="4">
                  <c:v>5</c:v>
                </c:pt>
                <c:pt idx="5">
                  <c:v>25</c:v>
                </c:pt>
                <c:pt idx="6">
                  <c:v>0</c:v>
                </c:pt>
                <c:pt idx="7">
                  <c:v>5</c:v>
                </c:pt>
              </c:numCache>
            </c:numRef>
          </c:val>
        </c:ser>
        <c:ser>
          <c:idx val="1"/>
          <c:order val="1"/>
          <c:tx>
            <c:strRef>
              <c:f>'малина БД'!$B$5</c:f>
              <c:strCache>
                <c:ptCount val="1"/>
                <c:pt idx="0">
                  <c:v>0,75 % (2 вариант)</c:v>
                </c:pt>
              </c:strCache>
            </c:strRef>
          </c:tx>
          <c:spPr>
            <a:pattFill prst="pct60">
              <a:fgClr>
                <a:srgbClr val="000000"/>
              </a:fgClr>
              <a:bgClr>
                <a:srgbClr val="FFFFFF"/>
              </a:bgClr>
            </a:pattFill>
            <a:ln w="12700">
              <a:solidFill>
                <a:srgbClr val="000000"/>
              </a:solidFill>
              <a:prstDash val="solid"/>
            </a:ln>
          </c:spPr>
          <c:cat>
            <c:multiLvlStrRef>
              <c:f>'малина БД'!$C$1:$J$3</c:f>
              <c:multiLvlStrCache>
                <c:ptCount val="8"/>
                <c:lvl>
                  <c:pt idx="0">
                    <c:v>дульцит</c:v>
                  </c:pt>
                  <c:pt idx="1">
                    <c:v>маннит</c:v>
                  </c:pt>
                  <c:pt idx="2">
                    <c:v>дульцит</c:v>
                  </c:pt>
                  <c:pt idx="3">
                    <c:v>маннит</c:v>
                  </c:pt>
                  <c:pt idx="4">
                    <c:v>дульцит</c:v>
                  </c:pt>
                  <c:pt idx="5">
                    <c:v>маннит</c:v>
                  </c:pt>
                  <c:pt idx="6">
                    <c:v>дульцит</c:v>
                  </c:pt>
                  <c:pt idx="7">
                    <c:v>маннит</c:v>
                  </c:pt>
                </c:lvl>
                <c:lvl>
                  <c:pt idx="0">
                    <c:v>3</c:v>
                  </c:pt>
                  <c:pt idx="2">
                    <c:v>6</c:v>
                  </c:pt>
                  <c:pt idx="4">
                    <c:v>9</c:v>
                  </c:pt>
                  <c:pt idx="6">
                    <c:v>12</c:v>
                  </c:pt>
                </c:lvl>
              </c:multiLvlStrCache>
            </c:multiLvlStrRef>
          </c:cat>
          <c:val>
            <c:numRef>
              <c:f>'малина БД'!$C$5:$J$5</c:f>
              <c:numCache>
                <c:formatCode>General</c:formatCode>
                <c:ptCount val="8"/>
                <c:pt idx="0">
                  <c:v>50</c:v>
                </c:pt>
                <c:pt idx="1">
                  <c:v>60</c:v>
                </c:pt>
                <c:pt idx="2">
                  <c:v>0</c:v>
                </c:pt>
                <c:pt idx="3">
                  <c:v>30</c:v>
                </c:pt>
                <c:pt idx="4">
                  <c:v>0</c:v>
                </c:pt>
                <c:pt idx="5">
                  <c:v>10</c:v>
                </c:pt>
                <c:pt idx="6">
                  <c:v>0</c:v>
                </c:pt>
                <c:pt idx="7">
                  <c:v>5</c:v>
                </c:pt>
              </c:numCache>
            </c:numRef>
          </c:val>
        </c:ser>
        <c:ser>
          <c:idx val="2"/>
          <c:order val="2"/>
          <c:tx>
            <c:strRef>
              <c:f>'малина БД'!$B$6</c:f>
              <c:strCache>
                <c:ptCount val="1"/>
                <c:pt idx="0">
                  <c:v>1,05 % (3 вариант)</c:v>
                </c:pt>
              </c:strCache>
            </c:strRef>
          </c:tx>
          <c:spPr>
            <a:pattFill prst="ltUpDiag">
              <a:fgClr>
                <a:srgbClr val="000000"/>
              </a:fgClr>
              <a:bgClr>
                <a:srgbClr val="FFFFFF"/>
              </a:bgClr>
            </a:pattFill>
            <a:ln w="12700">
              <a:solidFill>
                <a:srgbClr val="000000"/>
              </a:solidFill>
              <a:prstDash val="solid"/>
            </a:ln>
          </c:spPr>
          <c:cat>
            <c:multiLvlStrRef>
              <c:f>'малина БД'!$C$1:$J$3</c:f>
              <c:multiLvlStrCache>
                <c:ptCount val="8"/>
                <c:lvl>
                  <c:pt idx="0">
                    <c:v>дульцит</c:v>
                  </c:pt>
                  <c:pt idx="1">
                    <c:v>маннит</c:v>
                  </c:pt>
                  <c:pt idx="2">
                    <c:v>дульцит</c:v>
                  </c:pt>
                  <c:pt idx="3">
                    <c:v>маннит</c:v>
                  </c:pt>
                  <c:pt idx="4">
                    <c:v>дульцит</c:v>
                  </c:pt>
                  <c:pt idx="5">
                    <c:v>маннит</c:v>
                  </c:pt>
                  <c:pt idx="6">
                    <c:v>дульцит</c:v>
                  </c:pt>
                  <c:pt idx="7">
                    <c:v>маннит</c:v>
                  </c:pt>
                </c:lvl>
                <c:lvl>
                  <c:pt idx="0">
                    <c:v>3</c:v>
                  </c:pt>
                  <c:pt idx="2">
                    <c:v>6</c:v>
                  </c:pt>
                  <c:pt idx="4">
                    <c:v>9</c:v>
                  </c:pt>
                  <c:pt idx="6">
                    <c:v>12</c:v>
                  </c:pt>
                </c:lvl>
              </c:multiLvlStrCache>
            </c:multiLvlStrRef>
          </c:cat>
          <c:val>
            <c:numRef>
              <c:f>'малина БД'!$C$6:$J$6</c:f>
              <c:numCache>
                <c:formatCode>General</c:formatCode>
                <c:ptCount val="8"/>
                <c:pt idx="0">
                  <c:v>45</c:v>
                </c:pt>
                <c:pt idx="1">
                  <c:v>75</c:v>
                </c:pt>
                <c:pt idx="2">
                  <c:v>0</c:v>
                </c:pt>
                <c:pt idx="3">
                  <c:v>50</c:v>
                </c:pt>
                <c:pt idx="4">
                  <c:v>0</c:v>
                </c:pt>
                <c:pt idx="5">
                  <c:v>0</c:v>
                </c:pt>
                <c:pt idx="6">
                  <c:v>0</c:v>
                </c:pt>
                <c:pt idx="7">
                  <c:v>0</c:v>
                </c:pt>
              </c:numCache>
            </c:numRef>
          </c:val>
        </c:ser>
        <c:ser>
          <c:idx val="3"/>
          <c:order val="3"/>
          <c:tx>
            <c:strRef>
              <c:f>'малина БД'!$B$7</c:f>
              <c:strCache>
                <c:ptCount val="1"/>
                <c:pt idx="0">
                  <c:v>3,0 % ( контроль)</c:v>
                </c:pt>
              </c:strCache>
            </c:strRef>
          </c:tx>
          <c:spPr>
            <a:pattFill prst="narHorz">
              <a:fgClr>
                <a:srgbClr val="000000"/>
              </a:fgClr>
              <a:bgClr>
                <a:srgbClr val="FFFFFF"/>
              </a:bgClr>
            </a:pattFill>
            <a:ln w="12700">
              <a:solidFill>
                <a:srgbClr val="000000"/>
              </a:solidFill>
              <a:prstDash val="solid"/>
            </a:ln>
          </c:spPr>
          <c:cat>
            <c:multiLvlStrRef>
              <c:f>'малина БД'!$C$1:$J$3</c:f>
              <c:multiLvlStrCache>
                <c:ptCount val="8"/>
                <c:lvl>
                  <c:pt idx="0">
                    <c:v>дульцит</c:v>
                  </c:pt>
                  <c:pt idx="1">
                    <c:v>маннит</c:v>
                  </c:pt>
                  <c:pt idx="2">
                    <c:v>дульцит</c:v>
                  </c:pt>
                  <c:pt idx="3">
                    <c:v>маннит</c:v>
                  </c:pt>
                  <c:pt idx="4">
                    <c:v>дульцит</c:v>
                  </c:pt>
                  <c:pt idx="5">
                    <c:v>маннит</c:v>
                  </c:pt>
                  <c:pt idx="6">
                    <c:v>дульцит</c:v>
                  </c:pt>
                  <c:pt idx="7">
                    <c:v>маннит</c:v>
                  </c:pt>
                </c:lvl>
                <c:lvl>
                  <c:pt idx="0">
                    <c:v>3</c:v>
                  </c:pt>
                  <c:pt idx="2">
                    <c:v>6</c:v>
                  </c:pt>
                  <c:pt idx="4">
                    <c:v>9</c:v>
                  </c:pt>
                  <c:pt idx="6">
                    <c:v>12</c:v>
                  </c:pt>
                </c:lvl>
              </c:multiLvlStrCache>
            </c:multiLvlStrRef>
          </c:cat>
          <c:val>
            <c:numRef>
              <c:f>'малина БД'!$C$7:$J$7</c:f>
              <c:numCache>
                <c:formatCode>General</c:formatCode>
                <c:ptCount val="8"/>
                <c:pt idx="0">
                  <c:v>85</c:v>
                </c:pt>
                <c:pt idx="1">
                  <c:v>80</c:v>
                </c:pt>
                <c:pt idx="2">
                  <c:v>75</c:v>
                </c:pt>
                <c:pt idx="3">
                  <c:v>60</c:v>
                </c:pt>
                <c:pt idx="4">
                  <c:v>50</c:v>
                </c:pt>
                <c:pt idx="5">
                  <c:v>50</c:v>
                </c:pt>
                <c:pt idx="6">
                  <c:v>30</c:v>
                </c:pt>
                <c:pt idx="7">
                  <c:v>25</c:v>
                </c:pt>
              </c:numCache>
            </c:numRef>
          </c:val>
        </c:ser>
        <c:shape val="box"/>
        <c:axId val="219923584"/>
        <c:axId val="219925504"/>
        <c:axId val="0"/>
      </c:bar3DChart>
      <c:catAx>
        <c:axId val="219923584"/>
        <c:scaling>
          <c:orientation val="minMax"/>
        </c:scaling>
        <c:axPos val="b"/>
        <c:title>
          <c:tx>
            <c:rich>
              <a:bodyPr/>
              <a:lstStyle/>
              <a:p>
                <a:pPr>
                  <a:defRPr sz="1100" b="0" i="0" u="none" strike="noStrike" baseline="0">
                    <a:solidFill>
                      <a:srgbClr val="000000"/>
                    </a:solidFill>
                    <a:latin typeface="Times New Roman"/>
                    <a:ea typeface="Times New Roman"/>
                    <a:cs typeface="Times New Roman"/>
                  </a:defRPr>
                </a:pPr>
                <a:r>
                  <a:rPr lang="ru-RU" sz="1100"/>
                  <a:t>срок хранения, месяцы</a:t>
                </a:r>
              </a:p>
            </c:rich>
          </c:tx>
          <c:layout>
            <c:manualLayout>
              <c:xMode val="edge"/>
              <c:yMode val="edge"/>
              <c:x val="0.42340788836475229"/>
              <c:y val="0.79687687269179919"/>
            </c:manualLayout>
          </c:layout>
          <c:spPr>
            <a:noFill/>
            <a:ln w="25400">
              <a:noFill/>
            </a:ln>
          </c:spPr>
        </c:title>
        <c:numFmt formatCode="General" sourceLinked="1"/>
        <c:tickLblPos val="low"/>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19925504"/>
        <c:crosses val="autoZero"/>
        <c:auto val="1"/>
        <c:lblAlgn val="ctr"/>
        <c:lblOffset val="100"/>
        <c:tickLblSkip val="1"/>
        <c:tickMarkSkip val="1"/>
      </c:catAx>
      <c:valAx>
        <c:axId val="219925504"/>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Times New Roman"/>
                    <a:ea typeface="Times New Roman"/>
                    <a:cs typeface="Times New Roman"/>
                  </a:defRPr>
                </a:pPr>
                <a:r>
                  <a:rPr lang="ru-RU" sz="1100"/>
                  <a:t>доля живых растений, %</a:t>
                </a:r>
              </a:p>
            </c:rich>
          </c:tx>
          <c:layout>
            <c:manualLayout>
              <c:xMode val="edge"/>
              <c:yMode val="edge"/>
              <c:x val="0.11876078417304908"/>
              <c:y val="0.13802104382969829"/>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Times New Roman" pitchFamily="18" charset="0"/>
                <a:ea typeface="Arial Cyr"/>
                <a:cs typeface="Times New Roman" pitchFamily="18" charset="0"/>
              </a:defRPr>
            </a:pPr>
            <a:endParaRPr lang="ru-RU"/>
          </a:p>
        </c:txPr>
        <c:crossAx val="219923584"/>
        <c:crosses val="autoZero"/>
        <c:crossBetween val="between"/>
      </c:valAx>
      <c:spPr>
        <a:noFill/>
        <a:ln w="25400">
          <a:noFill/>
        </a:ln>
      </c:spPr>
    </c:plotArea>
    <c:legend>
      <c:legendPos val="r"/>
      <c:layout>
        <c:manualLayout>
          <c:xMode val="edge"/>
          <c:yMode val="edge"/>
          <c:x val="3.7865748709122252E-2"/>
          <c:y val="0.91146065129763565"/>
          <c:w val="0.92771084337349485"/>
          <c:h val="6.7708505524967252E-2"/>
        </c:manualLayout>
      </c:layout>
      <c:spPr>
        <a:solidFill>
          <a:srgbClr val="FFFFFF"/>
        </a:solidFill>
        <a:ln w="3175">
          <a:no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3175">
      <a:no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58A4-3D95-410C-8351-9487EE0F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comp9</cp:lastModifiedBy>
  <cp:revision>25</cp:revision>
  <dcterms:created xsi:type="dcterms:W3CDTF">2019-09-18T12:53:00Z</dcterms:created>
  <dcterms:modified xsi:type="dcterms:W3CDTF">2019-09-23T11:19:00Z</dcterms:modified>
</cp:coreProperties>
</file>